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eastAsia="zh-CN"/>
        </w:rPr>
        <w:t>宜春市商务局</w:t>
      </w:r>
      <w:r>
        <w:rPr>
          <w:rFonts w:hint="eastAsia" w:ascii="方正小标宋简体" w:hAnsi="方正小标宋简体" w:eastAsia="方正小标宋简体" w:cs="方正小标宋简体"/>
          <w:b/>
          <w:bCs/>
          <w:sz w:val="44"/>
          <w:szCs w:val="44"/>
          <w:lang w:val="en-US" w:eastAsia="zh-CN"/>
        </w:rPr>
        <w:t>2021年政府信息公开工作年度报告</w:t>
      </w:r>
    </w:p>
    <w:p>
      <w:pPr>
        <w:keepNext w:val="0"/>
        <w:keepLines w:val="0"/>
        <w:widowControl/>
        <w:suppressLineNumbers w:val="0"/>
        <w:ind w:firstLine="640" w:firstLineChars="200"/>
        <w:jc w:val="both"/>
      </w:pPr>
      <w:r>
        <w:rPr>
          <w:rFonts w:hint="eastAsia" w:ascii="仿宋_GB2312" w:hAnsi="仿宋_GB2312" w:eastAsia="仿宋_GB2312" w:cs="仿宋_GB2312"/>
          <w:b w:val="0"/>
          <w:bCs w:val="0"/>
          <w:sz w:val="32"/>
          <w:szCs w:val="32"/>
          <w:lang w:val="en-US" w:eastAsia="zh-CN"/>
        </w:rPr>
        <w:t>本报告根据《中华人民共和国政府信息公开条例》规定以及国办公开办函</w:t>
      </w:r>
      <w:r>
        <w:rPr>
          <w:rFonts w:ascii="仿宋_GB2312" w:hAnsi="仿宋_GB2312" w:eastAsia="仿宋_GB2312" w:cs="仿宋_GB2312"/>
          <w:color w:val="333333"/>
          <w:spacing w:val="0"/>
          <w:kern w:val="0"/>
          <w:sz w:val="31"/>
          <w:szCs w:val="31"/>
          <w:lang w:val="en-US" w:eastAsia="zh-CN" w:bidi="ar"/>
        </w:rPr>
        <w:t>〔</w:t>
      </w:r>
      <w:r>
        <w:rPr>
          <w:rFonts w:hint="eastAsia" w:ascii="仿宋_GB2312" w:hAnsi="仿宋_GB2312" w:eastAsia="仿宋_GB2312" w:cs="仿宋_GB2312"/>
          <w:color w:val="333333"/>
          <w:spacing w:val="0"/>
          <w:kern w:val="0"/>
          <w:sz w:val="31"/>
          <w:szCs w:val="31"/>
          <w:lang w:val="en-US" w:eastAsia="zh-CN" w:bidi="ar"/>
        </w:rPr>
        <w:t>2021〕30号文件要求，</w:t>
      </w:r>
      <w:r>
        <w:rPr>
          <w:rFonts w:hint="eastAsia" w:ascii="仿宋_GB2312" w:hAnsi="仿宋_GB2312" w:eastAsia="仿宋_GB2312" w:cs="仿宋_GB2312"/>
          <w:color w:val="000000"/>
          <w:sz w:val="32"/>
          <w:szCs w:val="32"/>
          <w:shd w:val="clear" w:fill="FFFFFF"/>
        </w:rPr>
        <w:t>由宜春市</w:t>
      </w:r>
      <w:r>
        <w:rPr>
          <w:rFonts w:hint="eastAsia" w:ascii="仿宋_GB2312" w:hAnsi="仿宋_GB2312" w:eastAsia="仿宋_GB2312" w:cs="仿宋_GB2312"/>
          <w:color w:val="000000"/>
          <w:sz w:val="32"/>
          <w:szCs w:val="32"/>
          <w:shd w:val="clear" w:fill="FFFFFF"/>
          <w:lang w:eastAsia="zh-CN"/>
        </w:rPr>
        <w:t>商务局</w:t>
      </w:r>
      <w:r>
        <w:rPr>
          <w:rFonts w:hint="eastAsia" w:ascii="仿宋_GB2312" w:hAnsi="仿宋_GB2312" w:eastAsia="仿宋_GB2312" w:cs="仿宋_GB2312"/>
          <w:color w:val="000000"/>
          <w:sz w:val="32"/>
          <w:szCs w:val="32"/>
          <w:shd w:val="clear" w:fill="FFFFFF"/>
        </w:rPr>
        <w:t>结合有关统计数据编制。本年度报告中所列数据的统计期限自202</w:t>
      </w:r>
      <w:r>
        <w:rPr>
          <w:rFonts w:hint="eastAsia" w:ascii="仿宋_GB2312" w:hAnsi="仿宋_GB2312" w:eastAsia="仿宋_GB2312" w:cs="仿宋_GB2312"/>
          <w:color w:val="000000"/>
          <w:sz w:val="32"/>
          <w:szCs w:val="32"/>
          <w:shd w:val="clear" w:fill="FFFFFF"/>
          <w:lang w:val="en-US" w:eastAsia="zh-CN"/>
        </w:rPr>
        <w:t>1</w:t>
      </w:r>
      <w:r>
        <w:rPr>
          <w:rFonts w:hint="eastAsia" w:ascii="仿宋_GB2312" w:hAnsi="仿宋_GB2312" w:eastAsia="仿宋_GB2312" w:cs="仿宋_GB2312"/>
          <w:color w:val="000000"/>
          <w:sz w:val="32"/>
          <w:szCs w:val="32"/>
          <w:shd w:val="clear" w:fill="FFFFFF"/>
        </w:rPr>
        <w:t>年1月1日起至202</w:t>
      </w:r>
      <w:r>
        <w:rPr>
          <w:rFonts w:hint="eastAsia" w:ascii="仿宋_GB2312" w:hAnsi="仿宋_GB2312" w:eastAsia="仿宋_GB2312" w:cs="仿宋_GB2312"/>
          <w:color w:val="000000"/>
          <w:sz w:val="32"/>
          <w:szCs w:val="32"/>
          <w:shd w:val="clear" w:fill="FFFFFF"/>
          <w:lang w:val="en-US" w:eastAsia="zh-CN"/>
        </w:rPr>
        <w:t>1</w:t>
      </w:r>
      <w:r>
        <w:rPr>
          <w:rFonts w:hint="eastAsia" w:ascii="仿宋_GB2312" w:hAnsi="仿宋_GB2312" w:eastAsia="仿宋_GB2312" w:cs="仿宋_GB2312"/>
          <w:color w:val="000000"/>
          <w:sz w:val="32"/>
          <w:szCs w:val="32"/>
          <w:shd w:val="clear" w:fill="FFFFFF"/>
        </w:rPr>
        <w:t>年12月31日止。全文包括总体情况、</w:t>
      </w:r>
      <w:r>
        <w:rPr>
          <w:rFonts w:hint="eastAsia" w:ascii="仿宋_GB2312" w:hAnsi="仿宋_GB2312" w:eastAsia="仿宋_GB2312" w:cs="仿宋_GB2312"/>
          <w:color w:val="000000"/>
          <w:sz w:val="32"/>
          <w:szCs w:val="32"/>
          <w:shd w:val="clear" w:fill="FFFFFF"/>
          <w:lang w:eastAsia="zh-CN"/>
        </w:rPr>
        <w:t>行政机关</w:t>
      </w:r>
      <w:r>
        <w:rPr>
          <w:rFonts w:hint="eastAsia" w:ascii="仿宋_GB2312" w:hAnsi="仿宋_GB2312" w:eastAsia="仿宋_GB2312" w:cs="仿宋_GB2312"/>
          <w:color w:val="000000"/>
          <w:sz w:val="32"/>
          <w:szCs w:val="32"/>
          <w:shd w:val="clear" w:fill="FFFFFF"/>
        </w:rPr>
        <w:t>主动公开政府信息情况、</w:t>
      </w:r>
      <w:r>
        <w:rPr>
          <w:rFonts w:hint="eastAsia" w:ascii="仿宋_GB2312" w:hAnsi="仿宋_GB2312" w:eastAsia="仿宋_GB2312" w:cs="仿宋_GB2312"/>
          <w:color w:val="000000"/>
          <w:sz w:val="32"/>
          <w:szCs w:val="32"/>
          <w:shd w:val="clear" w:fill="FFFFFF"/>
          <w:lang w:eastAsia="zh-CN"/>
        </w:rPr>
        <w:t>行政机关</w:t>
      </w:r>
      <w:r>
        <w:rPr>
          <w:rFonts w:hint="eastAsia" w:ascii="仿宋_GB2312" w:hAnsi="仿宋_GB2312" w:eastAsia="仿宋_GB2312" w:cs="仿宋_GB2312"/>
          <w:color w:val="000000"/>
          <w:sz w:val="32"/>
          <w:szCs w:val="32"/>
          <w:shd w:val="clear" w:fill="FFFFFF"/>
        </w:rPr>
        <w:t>收到和处理政府信息公开申请情况、</w:t>
      </w:r>
      <w:r>
        <w:rPr>
          <w:rFonts w:hint="eastAsia" w:ascii="仿宋_GB2312" w:hAnsi="仿宋_GB2312" w:eastAsia="仿宋_GB2312" w:cs="仿宋_GB2312"/>
          <w:color w:val="000000"/>
          <w:sz w:val="32"/>
          <w:szCs w:val="32"/>
          <w:shd w:val="clear" w:fill="FFFFFF"/>
          <w:lang w:eastAsia="zh-CN"/>
        </w:rPr>
        <w:t>因</w:t>
      </w:r>
      <w:r>
        <w:rPr>
          <w:rFonts w:hint="eastAsia" w:ascii="仿宋_GB2312" w:hAnsi="仿宋_GB2312" w:eastAsia="仿宋_GB2312" w:cs="仿宋_GB2312"/>
          <w:color w:val="000000"/>
          <w:sz w:val="32"/>
          <w:szCs w:val="32"/>
          <w:shd w:val="clear" w:fill="FFFFFF"/>
        </w:rPr>
        <w:t>政府信息公开</w:t>
      </w:r>
      <w:r>
        <w:rPr>
          <w:rFonts w:hint="eastAsia" w:ascii="仿宋_GB2312" w:hAnsi="仿宋_GB2312" w:eastAsia="仿宋_GB2312" w:cs="仿宋_GB2312"/>
          <w:color w:val="000000"/>
          <w:sz w:val="32"/>
          <w:szCs w:val="32"/>
          <w:shd w:val="clear" w:fill="FFFFFF"/>
          <w:lang w:eastAsia="zh-CN"/>
        </w:rPr>
        <w:t>工作被申请</w:t>
      </w:r>
      <w:r>
        <w:rPr>
          <w:rFonts w:hint="eastAsia" w:ascii="仿宋_GB2312" w:hAnsi="仿宋_GB2312" w:eastAsia="仿宋_GB2312" w:cs="仿宋_GB2312"/>
          <w:color w:val="000000"/>
          <w:sz w:val="32"/>
          <w:szCs w:val="32"/>
          <w:shd w:val="clear" w:fill="FFFFFF"/>
        </w:rPr>
        <w:t>行政复议</w:t>
      </w:r>
      <w:r>
        <w:rPr>
          <w:rFonts w:hint="eastAsia" w:ascii="仿宋_GB2312" w:hAnsi="仿宋_GB2312" w:eastAsia="仿宋_GB2312" w:cs="仿宋_GB2312"/>
          <w:color w:val="000000"/>
          <w:sz w:val="32"/>
          <w:szCs w:val="32"/>
          <w:shd w:val="clear" w:fill="FFFFFF"/>
          <w:lang w:eastAsia="zh-CN"/>
        </w:rPr>
        <w:t>和提起</w:t>
      </w:r>
      <w:r>
        <w:rPr>
          <w:rFonts w:hint="eastAsia" w:ascii="仿宋_GB2312" w:hAnsi="仿宋_GB2312" w:eastAsia="仿宋_GB2312" w:cs="仿宋_GB2312"/>
          <w:color w:val="000000"/>
          <w:sz w:val="32"/>
          <w:szCs w:val="32"/>
          <w:shd w:val="clear" w:fill="FFFFFF"/>
        </w:rPr>
        <w:t>行政诉讼情况、</w:t>
      </w:r>
      <w:r>
        <w:rPr>
          <w:rFonts w:hint="eastAsia" w:ascii="仿宋_GB2312" w:hAnsi="仿宋_GB2312" w:eastAsia="仿宋_GB2312" w:cs="仿宋_GB2312"/>
          <w:color w:val="000000"/>
          <w:sz w:val="32"/>
          <w:szCs w:val="32"/>
          <w:shd w:val="clear" w:fill="FFFFFF"/>
          <w:lang w:eastAsia="zh-CN"/>
        </w:rPr>
        <w:t>政府信息公开工作</w:t>
      </w:r>
      <w:r>
        <w:rPr>
          <w:rFonts w:hint="eastAsia" w:ascii="仿宋_GB2312" w:hAnsi="仿宋_GB2312" w:eastAsia="仿宋_GB2312" w:cs="仿宋_GB2312"/>
          <w:color w:val="000000"/>
          <w:sz w:val="32"/>
          <w:szCs w:val="32"/>
          <w:shd w:val="clear" w:fill="FFFFFF"/>
        </w:rPr>
        <w:t>存在的主要问题及改进情况</w:t>
      </w:r>
      <w:r>
        <w:rPr>
          <w:rFonts w:hint="eastAsia" w:ascii="仿宋_GB2312" w:hAnsi="仿宋_GB2312" w:eastAsia="仿宋_GB2312" w:cs="仿宋_GB2312"/>
          <w:color w:val="000000"/>
          <w:sz w:val="32"/>
          <w:szCs w:val="32"/>
          <w:shd w:val="clear" w:fill="FFFFFF"/>
          <w:lang w:eastAsia="zh-CN"/>
        </w:rPr>
        <w:t>和</w:t>
      </w:r>
      <w:r>
        <w:rPr>
          <w:rFonts w:hint="eastAsia" w:ascii="仿宋_GB2312" w:hAnsi="仿宋_GB2312" w:eastAsia="仿宋_GB2312" w:cs="仿宋_GB2312"/>
          <w:color w:val="000000"/>
          <w:sz w:val="32"/>
          <w:szCs w:val="32"/>
          <w:shd w:val="clear" w:fill="FFFFFF"/>
        </w:rPr>
        <w:t>其他需要报告的事项。本年度报告的电子版可以从宜春市</w:t>
      </w:r>
      <w:r>
        <w:rPr>
          <w:rFonts w:hint="eastAsia" w:ascii="仿宋_GB2312" w:hAnsi="仿宋_GB2312" w:eastAsia="仿宋_GB2312" w:cs="仿宋_GB2312"/>
          <w:color w:val="000000"/>
          <w:sz w:val="32"/>
          <w:szCs w:val="32"/>
          <w:shd w:val="clear" w:fill="FFFFFF"/>
          <w:lang w:eastAsia="zh-CN"/>
        </w:rPr>
        <w:t>商务局</w:t>
      </w:r>
      <w:r>
        <w:rPr>
          <w:rFonts w:hint="eastAsia" w:ascii="仿宋_GB2312" w:hAnsi="仿宋_GB2312" w:eastAsia="仿宋_GB2312" w:cs="仿宋_GB2312"/>
          <w:color w:val="000000"/>
          <w:sz w:val="32"/>
          <w:szCs w:val="32"/>
          <w:shd w:val="clear" w:fill="FFFFFF"/>
        </w:rPr>
        <w:t>网</w:t>
      </w:r>
      <w:r>
        <w:rPr>
          <w:rFonts w:hint="eastAsia" w:ascii="仿宋_GB2312" w:hAnsi="仿宋_GB2312" w:eastAsia="仿宋_GB2312" w:cs="仿宋_GB2312"/>
          <w:color w:val="000000"/>
          <w:sz w:val="32"/>
          <w:szCs w:val="32"/>
          <w:shd w:val="clear" w:fill="FFFFFF"/>
          <w:lang w:eastAsia="zh-CN"/>
        </w:rPr>
        <w:t>站</w:t>
      </w:r>
      <w:r>
        <w:rPr>
          <w:rFonts w:hint="eastAsia" w:ascii="仿宋_GB2312" w:hAnsi="仿宋_GB2312" w:eastAsia="仿宋_GB2312" w:cs="仿宋_GB2312"/>
          <w:color w:val="000000"/>
          <w:sz w:val="32"/>
          <w:szCs w:val="32"/>
          <w:shd w:val="clear" w:fill="FFFFFF"/>
        </w:rPr>
        <w:t>（http://ycwjmw.yichun.gov.cn/）下载。如对本报告有任何疑问，请与宜春市</w:t>
      </w:r>
      <w:r>
        <w:rPr>
          <w:rFonts w:hint="eastAsia" w:ascii="仿宋_GB2312" w:hAnsi="仿宋_GB2312" w:eastAsia="仿宋_GB2312" w:cs="仿宋_GB2312"/>
          <w:color w:val="000000"/>
          <w:sz w:val="32"/>
          <w:szCs w:val="32"/>
          <w:shd w:val="clear" w:fill="FFFFFF"/>
          <w:lang w:eastAsia="zh-CN"/>
        </w:rPr>
        <w:t>商务局</w:t>
      </w:r>
      <w:r>
        <w:rPr>
          <w:rFonts w:hint="eastAsia" w:ascii="仿宋_GB2312" w:hAnsi="仿宋_GB2312" w:eastAsia="仿宋_GB2312" w:cs="仿宋_GB2312"/>
          <w:color w:val="000000"/>
          <w:sz w:val="32"/>
          <w:szCs w:val="32"/>
          <w:shd w:val="clear" w:fill="FFFFFF"/>
        </w:rPr>
        <w:t>联系（地址：江西省宜春市袁州区宜阳大厦中座</w:t>
      </w:r>
      <w:r>
        <w:rPr>
          <w:rFonts w:hint="eastAsia" w:ascii="仿宋_GB2312" w:hAnsi="仿宋_GB2312" w:eastAsia="仿宋_GB2312" w:cs="仿宋_GB2312"/>
          <w:color w:val="000000"/>
          <w:sz w:val="32"/>
          <w:szCs w:val="32"/>
          <w:shd w:val="clear" w:fill="FFFFFF"/>
          <w:lang w:val="en-US" w:eastAsia="zh-CN"/>
        </w:rPr>
        <w:t>5</w:t>
      </w:r>
      <w:r>
        <w:rPr>
          <w:rFonts w:hint="eastAsia" w:ascii="仿宋_GB2312" w:hAnsi="仿宋_GB2312" w:eastAsia="仿宋_GB2312" w:cs="仿宋_GB2312"/>
          <w:color w:val="000000"/>
          <w:sz w:val="32"/>
          <w:szCs w:val="32"/>
          <w:shd w:val="clear" w:fill="FFFFFF"/>
        </w:rPr>
        <w:t>楼，电话：0795-32</w:t>
      </w:r>
      <w:r>
        <w:rPr>
          <w:rFonts w:hint="eastAsia" w:ascii="仿宋_GB2312" w:hAnsi="仿宋_GB2312" w:eastAsia="仿宋_GB2312" w:cs="仿宋_GB2312"/>
          <w:color w:val="000000"/>
          <w:sz w:val="32"/>
          <w:szCs w:val="32"/>
          <w:shd w:val="clear" w:fill="FFFFFF"/>
          <w:lang w:val="en-US" w:eastAsia="zh-CN"/>
        </w:rPr>
        <w:t>24056</w:t>
      </w:r>
      <w:r>
        <w:rPr>
          <w:rFonts w:hint="eastAsia" w:ascii="仿宋_GB2312" w:hAnsi="仿宋_GB2312" w:eastAsia="仿宋_GB2312" w:cs="仿宋_GB2312"/>
          <w:color w:val="000000"/>
          <w:sz w:val="32"/>
          <w:szCs w:val="32"/>
          <w:shd w:val="clear" w:fill="FFFFFF"/>
        </w:rPr>
        <w:t>，邮编：336000）。</w:t>
      </w:r>
      <w:r>
        <w:rPr>
          <w:rFonts w:hint="eastAsia" w:ascii="仿宋_GB2312" w:hAnsi="仿宋_GB2312" w:eastAsia="仿宋_GB2312" w:cs="仿宋_GB2312"/>
          <w:sz w:val="32"/>
          <w:szCs w:val="32"/>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color w:val="000000"/>
          <w:sz w:val="32"/>
          <w:szCs w:val="32"/>
          <w:shd w:val="clear" w:fill="FFFFFF"/>
        </w:rPr>
      </w:pPr>
      <w:r>
        <w:rPr>
          <w:rFonts w:hint="eastAsia" w:ascii="黑体" w:hAnsi="黑体" w:eastAsia="黑体" w:cs="黑体"/>
          <w:color w:val="000000"/>
          <w:sz w:val="32"/>
          <w:szCs w:val="32"/>
          <w:shd w:val="clear" w:fill="FFFFFF"/>
          <w:lang w:eastAsia="zh-CN"/>
        </w:rPr>
        <w:t>一、</w:t>
      </w:r>
      <w:r>
        <w:rPr>
          <w:rFonts w:hint="eastAsia" w:ascii="黑体" w:hAnsi="黑体" w:eastAsia="黑体" w:cs="黑体"/>
          <w:color w:val="000000"/>
          <w:sz w:val="32"/>
          <w:szCs w:val="32"/>
          <w:shd w:val="clear" w:fill="FFFFFF"/>
        </w:rPr>
        <w:t>总体情况</w:t>
      </w:r>
    </w:p>
    <w:p>
      <w:pPr>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2021年，市商务局深入学习贯彻落实习近平新时代中国特色社会主义思想和党的十九大</w:t>
      </w:r>
      <w:bookmarkStart w:id="0" w:name="_GoBack"/>
      <w:bookmarkEnd w:id="0"/>
      <w:r>
        <w:rPr>
          <w:rFonts w:hint="eastAsia" w:ascii="Times New Roman" w:hAnsi="Times New Roman" w:eastAsia="仿宋_GB2312" w:cs="Times New Roman"/>
          <w:kern w:val="2"/>
          <w:sz w:val="32"/>
          <w:szCs w:val="32"/>
          <w:lang w:val="en-US" w:eastAsia="zh-CN" w:bidi="ar-SA"/>
        </w:rPr>
        <w:t>精神，</w:t>
      </w:r>
      <w:r>
        <w:rPr>
          <w:rFonts w:hint="eastAsia" w:ascii="仿宋_GB2312" w:hAnsi="仿宋_GB2312" w:eastAsia="仿宋_GB2312" w:cs="仿宋_GB2312"/>
          <w:sz w:val="32"/>
          <w:szCs w:val="32"/>
          <w:lang w:val="en-US" w:eastAsia="zh-CN"/>
        </w:rPr>
        <w:t>全面贯彻党的十九大及十九届二中、三中、四中、五中全会精神，</w:t>
      </w:r>
      <w:r>
        <w:rPr>
          <w:rFonts w:hint="eastAsia" w:ascii="Times New Roman" w:hAnsi="Times New Roman" w:eastAsia="仿宋_GB2312" w:cs="Times New Roman"/>
          <w:kern w:val="2"/>
          <w:sz w:val="32"/>
          <w:szCs w:val="32"/>
          <w:lang w:val="en-US" w:eastAsia="zh-CN" w:bidi="ar-SA"/>
        </w:rPr>
        <w:t>认真学习贯彻《中华人民共和国政府信息公开条例》，在市政府政务公开科指导下，全面推进政务公开标准化规范化，不断加强政策解读，及时回应社会关切，以公开促落实、促规范、促服务，着力推进各项工作落地见效。</w:t>
      </w:r>
    </w:p>
    <w:p>
      <w:pPr>
        <w:numPr>
          <w:ilvl w:val="0"/>
          <w:numId w:val="1"/>
        </w:numPr>
        <w:ind w:firstLine="640" w:firstLineChars="20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75" w:afterAutospacing="0" w:line="240" w:lineRule="auto"/>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市商务局加强全力配置信息公开。认真对照法律法规规章，按照市政府政务公开科要求，全面梳理市商务局依法行使的行政权力和依法承担的公共服务职责。依法及时公开局机关职能、机构设置、办公地址、办公时间、联系方式、负责人姓名等信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2021年以来，为</w:t>
      </w:r>
      <w:r>
        <w:rPr>
          <w:rFonts w:hint="eastAsia" w:ascii="Times New Roman" w:hAnsi="Times New Roman" w:eastAsia="仿宋_GB2312" w:cs="Times New Roman"/>
          <w:kern w:val="2"/>
          <w:sz w:val="32"/>
          <w:szCs w:val="32"/>
          <w:lang w:val="en-US" w:eastAsia="zh-CN" w:bidi="ar-SA"/>
        </w:rPr>
        <w:t>强化政策解读和用权公开，</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全局共发布政府信息588余条，</w:t>
      </w:r>
      <w:r>
        <w:rPr>
          <w:rFonts w:hint="eastAsia" w:ascii="Times New Roman" w:hAnsi="Times New Roman" w:eastAsia="仿宋_GB2312" w:cs="Times New Roman"/>
          <w:kern w:val="2"/>
          <w:sz w:val="32"/>
          <w:szCs w:val="32"/>
          <w:lang w:val="en-US" w:eastAsia="zh-CN" w:bidi="ar-SA"/>
        </w:rPr>
        <w:t>发布政策解读信息6次，举行参与新闻发布会4次。主动回应社会热点问题，2021年全年按时按质办理20件12345市长热线交办事项，有效地保障了社会公众的知情权、参与权和监督权。</w:t>
      </w:r>
    </w:p>
    <w:p>
      <w:pPr>
        <w:numPr>
          <w:ilvl w:val="0"/>
          <w:numId w:val="1"/>
        </w:numPr>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依申请公开情况</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依申请公开工作受理、答复情况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2021年，市商务局收到依申请公开申请数为0件。</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非公开目录情况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2021年，市商务局发生依申请公开政府信息不予公开文件数为4件。</w:t>
      </w:r>
    </w:p>
    <w:p>
      <w:pPr>
        <w:numPr>
          <w:ilvl w:val="0"/>
          <w:numId w:val="1"/>
        </w:numPr>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75" w:afterAutospacing="0" w:line="240" w:lineRule="auto"/>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进一步理清市商务局政务公开工作，明确政务公开责任，我局于今年制定了《市商务局2021年政务公开重点工作任务分工的通知》和《市商务局2021年政务公开工作要点》，细化任务问题，明确责任部门，形成整改长效机制，确保整改落到实处。</w:t>
      </w:r>
    </w:p>
    <w:p>
      <w:pPr>
        <w:numPr>
          <w:ilvl w:val="0"/>
          <w:numId w:val="1"/>
        </w:numPr>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政府信息公开平台建设情况</w:t>
      </w:r>
    </w:p>
    <w:p>
      <w:pPr>
        <w:numPr>
          <w:ilvl w:val="0"/>
          <w:numId w:val="0"/>
        </w:numPr>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在《市商务局2021年政务公开重点工作任务分工的通知》和《市商务局2021年政务公开工作要点》的指导下，结合年度工作重点，增加了“习近平法治思想”等专题栏目，将平台作用发挥到实处。此外，成立由分管领导担任组长的政务公开领导小组，并配置专门人员负责政务公开工作和政务公开平台管理，做好各项栏目的更新、维护和安全防护工作。</w:t>
      </w:r>
    </w:p>
    <w:p>
      <w:pPr>
        <w:numPr>
          <w:ilvl w:val="0"/>
          <w:numId w:val="1"/>
        </w:numPr>
        <w:ind w:firstLine="640" w:firstLineChars="20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75"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一是加强组织领导，建立健全责任体系。</w:t>
      </w:r>
      <w:r>
        <w:rPr>
          <w:rFonts w:hint="eastAsia" w:ascii="Times New Roman" w:hAnsi="Times New Roman" w:eastAsia="仿宋_GB2312" w:cs="Times New Roman"/>
          <w:kern w:val="2"/>
          <w:sz w:val="32"/>
          <w:szCs w:val="32"/>
          <w:lang w:val="en-US" w:eastAsia="zh-CN" w:bidi="ar-SA"/>
        </w:rPr>
        <w:t>及时召开局全体干部会议学习上级政策文件，谋深谋细谋实政务公开工作。局领导出席新闻发布会，带头解读商务相关政策。加强行业指导，开展政务公开工作业务培训，形成了协调配合、密切联动的良好局面。</w:t>
      </w:r>
    </w:p>
    <w:p>
      <w:pPr>
        <w:numPr>
          <w:ilvl w:val="0"/>
          <w:numId w:val="0"/>
        </w:numPr>
        <w:ind w:firstLine="640" w:firstLineChars="200"/>
        <w:jc w:val="left"/>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kern w:val="2"/>
          <w:sz w:val="32"/>
          <w:szCs w:val="32"/>
          <w:lang w:val="en-US" w:eastAsia="zh-CN" w:bidi="ar-SA"/>
        </w:rPr>
        <w:t>二是加强制度建设，积极查漏补缺。</w:t>
      </w:r>
      <w:r>
        <w:rPr>
          <w:rFonts w:hint="eastAsia" w:ascii="仿宋_GB2312" w:hAnsi="仿宋_GB2312" w:eastAsia="仿宋_GB2312" w:cs="仿宋_GB2312"/>
          <w:color w:val="000000"/>
          <w:sz w:val="32"/>
          <w:szCs w:val="32"/>
          <w:lang w:val="en-US" w:eastAsia="zh-CN"/>
        </w:rPr>
        <w:t>在严格执行现有制度的同时，也严格落实公文公开属性源头审查和公开前发布审查工作机制，确保发文的准确性和可靠性。各科室若需要在局官方网站或政务新媒体平台上发文或公示，均需填写《宜春市商务局网站信息发布审批单》，经科室审核，报分管领导核定签字之后予以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75" w:afterAutospacing="0" w:line="240" w:lineRule="auto"/>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三是加强督察考核，确保落实到位。</w:t>
      </w:r>
      <w:r>
        <w:rPr>
          <w:rFonts w:hint="eastAsia" w:ascii="Times New Roman" w:hAnsi="Times New Roman" w:eastAsia="仿宋_GB2312" w:cs="Times New Roman"/>
          <w:kern w:val="2"/>
          <w:sz w:val="32"/>
          <w:szCs w:val="32"/>
          <w:lang w:val="en-US" w:eastAsia="zh-CN" w:bidi="ar-SA"/>
        </w:rPr>
        <w:t>进一步建立健全督查工作机制，定期督查政府信息发布情况，督促各责任主体做好政务公开工作。对出台的重要文件、年度工作要点，逐项明确牵头责任主体、时间节点和相关措施，确保每项任务有人抓、能落实。强化问题整改，针对市政务公开科反馈的问题清单，严格制定问题清单、责任清单和整改清单，落实责任部门和整改时限，加大督促检查，跟踪问效，确保所有问题按时按质整改到位。</w:t>
      </w:r>
    </w:p>
    <w:p>
      <w:pPr>
        <w:pStyle w:val="2"/>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color w:val="000000"/>
          <w:sz w:val="32"/>
          <w:szCs w:val="32"/>
          <w:shd w:val="clear" w:fill="FFFFFF"/>
          <w:lang w:eastAsia="zh-CN"/>
        </w:rPr>
      </w:pPr>
      <w:r>
        <w:rPr>
          <w:rFonts w:hint="eastAsia" w:ascii="黑体" w:hAnsi="黑体" w:eastAsia="黑体" w:cs="黑体"/>
          <w:color w:val="000000"/>
          <w:sz w:val="32"/>
          <w:szCs w:val="32"/>
          <w:shd w:val="clear" w:fill="FFFFFF"/>
          <w:lang w:eastAsia="zh-CN"/>
        </w:rPr>
        <w:t>行政机关主动公开政府信息情况</w:t>
      </w:r>
    </w:p>
    <w:tbl>
      <w:tblPr>
        <w:tblStyle w:val="3"/>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0"/>
        <w:gridCol w:w="3690"/>
        <w:gridCol w:w="4455"/>
        <w:gridCol w:w="5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3450" w:type="dxa"/>
            <w:tcBorders>
              <w:top w:val="single" w:color="000000" w:sz="12" w:space="0"/>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第二十条第（一）项</w:t>
            </w:r>
          </w:p>
        </w:tc>
        <w:tc>
          <w:tcPr>
            <w:tcW w:w="3690" w:type="dxa"/>
            <w:tcBorders>
              <w:top w:val="single" w:color="000000" w:sz="12" w:space="0"/>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4455" w:type="dxa"/>
            <w:tcBorders>
              <w:top w:val="single" w:color="000000" w:sz="12" w:space="0"/>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single" w:color="000000" w:sz="12" w:space="0"/>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信息内容</w:t>
            </w:r>
          </w:p>
        </w:tc>
        <w:tc>
          <w:tcPr>
            <w:tcW w:w="3690" w:type="dxa"/>
            <w:tcBorders>
              <w:top w:val="nil"/>
              <w:left w:val="nil"/>
              <w:bottom w:val="nil"/>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本年制发件数</w:t>
            </w:r>
          </w:p>
        </w:tc>
        <w:tc>
          <w:tcPr>
            <w:tcW w:w="4455" w:type="dxa"/>
            <w:tcBorders>
              <w:top w:val="nil"/>
              <w:left w:val="nil"/>
              <w:bottom w:val="nil"/>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本年废止件数</w:t>
            </w:r>
          </w:p>
        </w:tc>
        <w:tc>
          <w:tcPr>
            <w:tcW w:w="5625"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c>
          <w:tcPr>
            <w:tcW w:w="36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c>
          <w:tcPr>
            <w:tcW w:w="445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规章</w:t>
            </w:r>
          </w:p>
        </w:tc>
        <w:tc>
          <w:tcPr>
            <w:tcW w:w="36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445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562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规范性文件</w:t>
            </w:r>
          </w:p>
        </w:tc>
        <w:tc>
          <w:tcPr>
            <w:tcW w:w="36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445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562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50"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第二十条第（五）项</w:t>
            </w:r>
          </w:p>
        </w:tc>
        <w:tc>
          <w:tcPr>
            <w:tcW w:w="3690"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4455"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信息内容</w:t>
            </w:r>
          </w:p>
        </w:tc>
        <w:tc>
          <w:tcPr>
            <w:tcW w:w="3690"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本年处理决定数量</w:t>
            </w:r>
          </w:p>
        </w:tc>
        <w:tc>
          <w:tcPr>
            <w:tcW w:w="4455"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行政许可</w:t>
            </w:r>
          </w:p>
        </w:tc>
        <w:tc>
          <w:tcPr>
            <w:tcW w:w="3690"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4455"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p>
        </w:tc>
        <w:tc>
          <w:tcPr>
            <w:tcW w:w="562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450"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第二十条第（六）项</w:t>
            </w:r>
          </w:p>
        </w:tc>
        <w:tc>
          <w:tcPr>
            <w:tcW w:w="3690"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4455"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信息内容</w:t>
            </w:r>
          </w:p>
        </w:tc>
        <w:tc>
          <w:tcPr>
            <w:tcW w:w="3690"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本年处理决定数量</w:t>
            </w:r>
          </w:p>
        </w:tc>
        <w:tc>
          <w:tcPr>
            <w:tcW w:w="4455"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行政处罚</w:t>
            </w:r>
          </w:p>
        </w:tc>
        <w:tc>
          <w:tcPr>
            <w:tcW w:w="3690"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4455" w:type="dxa"/>
            <w:tcBorders>
              <w:top w:val="nil"/>
              <w:left w:val="nil"/>
              <w:bottom w:val="single" w:color="000000" w:sz="12" w:space="0"/>
              <w:right w:val="nil"/>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p>
        </w:tc>
        <w:tc>
          <w:tcPr>
            <w:tcW w:w="562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行政强制</w:t>
            </w:r>
          </w:p>
        </w:tc>
        <w:tc>
          <w:tcPr>
            <w:tcW w:w="3690" w:type="dxa"/>
            <w:tcBorders>
              <w:top w:val="nil"/>
              <w:left w:val="nil"/>
              <w:bottom w:val="single" w:color="000000" w:sz="12" w:space="0"/>
              <w:right w:val="nil"/>
              <w:tl2br w:val="nil"/>
              <w:tr2bl w:val="nil"/>
            </w:tcBorders>
            <w:shd w:val="solid" w:color="CC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4455" w:type="dxa"/>
            <w:tcBorders>
              <w:top w:val="nil"/>
              <w:left w:val="nil"/>
              <w:bottom w:val="single" w:color="000000" w:sz="12" w:space="0"/>
              <w:right w:val="nil"/>
              <w:tl2br w:val="nil"/>
              <w:tr2bl w:val="nil"/>
            </w:tcBorders>
            <w:shd w:val="solid" w:color="CCFFFF" w:fill="auto"/>
            <w:noWrap w:val="0"/>
            <w:vAlign w:val="top"/>
          </w:tcPr>
          <w:p>
            <w:pPr>
              <w:spacing w:beforeLines="0" w:afterLines="0"/>
              <w:jc w:val="center"/>
              <w:rPr>
                <w:rFonts w:hint="eastAsia" w:ascii="寰蒋闆呴粦" w:hAnsi="寰蒋闆呴粦" w:eastAsia="寰蒋闆呴粦"/>
                <w:color w:val="333333"/>
                <w:sz w:val="21"/>
                <w:szCs w:val="24"/>
              </w:rPr>
            </w:pPr>
          </w:p>
        </w:tc>
        <w:tc>
          <w:tcPr>
            <w:tcW w:w="5625" w:type="dxa"/>
            <w:tcBorders>
              <w:top w:val="nil"/>
              <w:left w:val="nil"/>
              <w:bottom w:val="single" w:color="000000" w:sz="12" w:space="0"/>
              <w:right w:val="single" w:color="000000" w:sz="12" w:space="0"/>
              <w:tl2br w:val="nil"/>
              <w:tr2bl w:val="nil"/>
            </w:tcBorders>
            <w:shd w:val="solid" w:color="CCFFFF" w:fill="auto"/>
            <w:noWrap w:val="0"/>
            <w:vAlign w:val="top"/>
          </w:tcPr>
          <w:p>
            <w:pPr>
              <w:spacing w:beforeLines="0" w:afterLines="0"/>
              <w:jc w:val="center"/>
              <w:rPr>
                <w:rFonts w:hint="eastAsia" w:ascii="寰蒋闆呴粦" w:hAnsi="寰蒋闆呴粦" w:eastAsia="寰蒋闆呴粦"/>
                <w:color w:val="333333"/>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450" w:type="dxa"/>
            <w:tcBorders>
              <w:top w:val="nil"/>
              <w:left w:val="single" w:color="000000" w:sz="12" w:space="0"/>
              <w:bottom w:val="single" w:color="000000" w:sz="12" w:space="0"/>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第二十条第（八）项</w:t>
            </w:r>
          </w:p>
        </w:tc>
        <w:tc>
          <w:tcPr>
            <w:tcW w:w="3690" w:type="dxa"/>
            <w:tcBorders>
              <w:top w:val="nil"/>
              <w:left w:val="single" w:color="000000" w:sz="12" w:space="0"/>
              <w:bottom w:val="nil"/>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4455" w:type="dxa"/>
            <w:tcBorders>
              <w:top w:val="nil"/>
              <w:left w:val="single" w:color="000000" w:sz="12" w:space="0"/>
              <w:bottom w:val="nil"/>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nil"/>
              <w:left w:val="single" w:color="000000" w:sz="12" w:space="0"/>
              <w:bottom w:val="nil"/>
              <w:right w:val="single" w:color="000000" w:sz="12" w:space="0"/>
              <w:tl2br w:val="nil"/>
              <w:tr2bl w:val="nil"/>
            </w:tcBorders>
            <w:shd w:val="solid" w:color="CCCC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50" w:type="dxa"/>
            <w:tcBorders>
              <w:top w:val="nil"/>
              <w:left w:val="single" w:color="000000" w:sz="12" w:space="0"/>
              <w:bottom w:val="single" w:color="000000" w:sz="12" w:space="0"/>
              <w:right w:val="nil"/>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信息内容</w:t>
            </w:r>
          </w:p>
        </w:tc>
        <w:tc>
          <w:tcPr>
            <w:tcW w:w="3690" w:type="dxa"/>
            <w:tcBorders>
              <w:top w:val="single" w:color="auto" w:sz="12" w:space="0"/>
              <w:left w:val="single" w:color="auto" w:sz="12" w:space="0"/>
              <w:bottom w:val="single" w:color="auto" w:sz="12" w:space="0"/>
              <w:right w:val="single" w:color="auto" w:sz="6"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本年收费金额（单位：万元）</w:t>
            </w:r>
          </w:p>
        </w:tc>
        <w:tc>
          <w:tcPr>
            <w:tcW w:w="4455" w:type="dxa"/>
            <w:tcBorders>
              <w:top w:val="single" w:color="auto" w:sz="12" w:space="0"/>
              <w:left w:val="single" w:color="auto" w:sz="6" w:space="0"/>
              <w:bottom w:val="single" w:color="auto" w:sz="12" w:space="0"/>
              <w:right w:val="single" w:color="auto" w:sz="6"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c>
          <w:tcPr>
            <w:tcW w:w="5625" w:type="dxa"/>
            <w:tcBorders>
              <w:top w:val="single" w:color="auto" w:sz="12" w:space="0"/>
              <w:left w:val="single" w:color="auto" w:sz="6" w:space="0"/>
              <w:bottom w:val="single" w:color="auto" w:sz="12" w:space="0"/>
              <w:right w:val="single" w:color="auto"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45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b/>
                <w:color w:val="333333"/>
                <w:sz w:val="18"/>
                <w:szCs w:val="24"/>
              </w:rPr>
            </w:pPr>
            <w:r>
              <w:rPr>
                <w:rFonts w:hint="eastAsia" w:ascii="瀹嬩綋" w:hAnsi="瀹嬩綋" w:eastAsia="瀹嬩綋"/>
                <w:b/>
                <w:color w:val="333333"/>
                <w:sz w:val="18"/>
                <w:szCs w:val="24"/>
              </w:rPr>
              <w:t>行政事业性收费</w:t>
            </w:r>
          </w:p>
        </w:tc>
        <w:tc>
          <w:tcPr>
            <w:tcW w:w="3690" w:type="dxa"/>
            <w:tcBorders>
              <w:top w:val="nil"/>
              <w:left w:val="nil"/>
              <w:bottom w:val="single" w:color="000000" w:sz="12" w:space="0"/>
              <w:right w:val="nil"/>
              <w:tl2br w:val="nil"/>
              <w:tr2bl w:val="nil"/>
            </w:tcBorders>
            <w:shd w:val="solid" w:color="CC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4455" w:type="dxa"/>
            <w:tcBorders>
              <w:top w:val="nil"/>
              <w:left w:val="nil"/>
              <w:bottom w:val="single" w:color="000000" w:sz="12" w:space="0"/>
              <w:right w:val="nil"/>
              <w:tl2br w:val="nil"/>
              <w:tr2bl w:val="nil"/>
            </w:tcBorders>
            <w:shd w:val="solid" w:color="CCFFFF" w:fill="auto"/>
            <w:noWrap w:val="0"/>
            <w:vAlign w:val="top"/>
          </w:tcPr>
          <w:p>
            <w:pPr>
              <w:spacing w:beforeLines="0" w:afterLines="0"/>
              <w:jc w:val="center"/>
              <w:rPr>
                <w:rFonts w:hint="eastAsia" w:ascii="寰蒋闆呴粦" w:hAnsi="寰蒋闆呴粦" w:eastAsia="寰蒋闆呴粦"/>
                <w:color w:val="333333"/>
                <w:sz w:val="21"/>
                <w:szCs w:val="24"/>
              </w:rPr>
            </w:pPr>
          </w:p>
        </w:tc>
        <w:tc>
          <w:tcPr>
            <w:tcW w:w="5625" w:type="dxa"/>
            <w:tcBorders>
              <w:top w:val="nil"/>
              <w:left w:val="nil"/>
              <w:bottom w:val="single" w:color="000000" w:sz="12" w:space="0"/>
              <w:right w:val="single" w:color="000000" w:sz="12" w:space="0"/>
              <w:tl2br w:val="nil"/>
              <w:tr2bl w:val="nil"/>
            </w:tcBorders>
            <w:shd w:val="solid" w:color="CCFFFF" w:fill="auto"/>
            <w:noWrap w:val="0"/>
            <w:vAlign w:val="top"/>
          </w:tcPr>
          <w:p>
            <w:pPr>
              <w:spacing w:beforeLines="0" w:afterLines="0"/>
              <w:jc w:val="center"/>
              <w:rPr>
                <w:rFonts w:hint="eastAsia" w:ascii="寰蒋闆呴粦" w:hAnsi="寰蒋闆呴粦" w:eastAsia="寰蒋闆呴粦"/>
                <w:color w:val="333333"/>
                <w:sz w:val="21"/>
                <w:szCs w:val="24"/>
              </w:rPr>
            </w:pPr>
          </w:p>
        </w:tc>
      </w:tr>
    </w:tbl>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000000"/>
          <w:sz w:val="32"/>
          <w:szCs w:val="32"/>
          <w:shd w:val="clear" w:fill="FFFFFF"/>
          <w:lang w:eastAsia="zh-CN"/>
        </w:rPr>
      </w:pPr>
    </w:p>
    <w:p>
      <w:pPr>
        <w:pStyle w:val="2"/>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color w:val="000000"/>
          <w:sz w:val="32"/>
          <w:szCs w:val="32"/>
          <w:shd w:val="clear" w:fill="FFFFFF"/>
          <w:lang w:eastAsia="zh-CN"/>
        </w:rPr>
      </w:pPr>
      <w:r>
        <w:rPr>
          <w:rFonts w:hint="eastAsia" w:ascii="黑体" w:hAnsi="黑体" w:eastAsia="黑体" w:cs="黑体"/>
          <w:color w:val="000000"/>
          <w:sz w:val="32"/>
          <w:szCs w:val="32"/>
          <w:shd w:val="clear" w:fill="FFFFFF"/>
          <w:lang w:eastAsia="zh-CN"/>
        </w:rPr>
        <w:t>行政机关收到和处理政府信息公开申请情况</w:t>
      </w:r>
    </w:p>
    <w:tbl>
      <w:tblPr>
        <w:tblStyle w:val="3"/>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1590"/>
        <w:gridCol w:w="2385"/>
        <w:gridCol w:w="1050"/>
        <w:gridCol w:w="1035"/>
        <w:gridCol w:w="1080"/>
        <w:gridCol w:w="1260"/>
        <w:gridCol w:w="1275"/>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080"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瀹嬩綋" w:hAnsi="瀹嬩綋" w:eastAsia="瀹嬩綋"/>
                <w:color w:val="333333"/>
                <w:sz w:val="18"/>
                <w:szCs w:val="24"/>
              </w:rPr>
            </w:pPr>
            <w:r>
              <w:rPr>
                <w:rFonts w:hint="eastAsia" w:ascii="瀹嬩綋" w:hAnsi="瀹嬩綋" w:eastAsia="瀹嬩綋"/>
                <w:color w:val="333333"/>
                <w:sz w:val="18"/>
                <w:szCs w:val="24"/>
              </w:rPr>
              <w:t>（本列数据的勾稽关系为：第一项加第二项之和，等于第三项加第四项之和）</w:t>
            </w:r>
          </w:p>
        </w:tc>
        <w:tc>
          <w:tcPr>
            <w:tcW w:w="1590"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2385"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105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申请人情况</w:t>
            </w:r>
          </w:p>
        </w:tc>
        <w:tc>
          <w:tcPr>
            <w:tcW w:w="1035"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08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26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275"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08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08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80"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1590"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2385"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1050" w:type="dxa"/>
            <w:tcBorders>
              <w:top w:val="nil"/>
              <w:left w:val="nil"/>
              <w:bottom w:val="nil"/>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自然人</w:t>
            </w:r>
          </w:p>
        </w:tc>
        <w:tc>
          <w:tcPr>
            <w:tcW w:w="1035"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法人或其他组织</w:t>
            </w:r>
          </w:p>
        </w:tc>
        <w:tc>
          <w:tcPr>
            <w:tcW w:w="108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26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275"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080" w:type="dxa"/>
            <w:tcBorders>
              <w:top w:val="single" w:color="000000" w:sz="12" w:space="0"/>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80"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1590"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2385" w:type="dxa"/>
            <w:tcBorders>
              <w:top w:val="single" w:color="000000" w:sz="12" w:space="0"/>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8"/>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商业企业</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科研机构</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社会公益组织</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法律服务机构</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其他</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瀹嬩綋" w:hAnsi="瀹嬩綋" w:eastAsia="瀹嬩綋"/>
                <w:color w:val="333333"/>
                <w:sz w:val="19"/>
                <w:szCs w:val="24"/>
              </w:rPr>
            </w:pPr>
            <w:r>
              <w:rPr>
                <w:rFonts w:hint="eastAsia" w:ascii="瀹嬩綋" w:hAnsi="瀹嬩綋" w:eastAsia="瀹嬩綋"/>
                <w:color w:val="333333"/>
                <w:sz w:val="19"/>
                <w:szCs w:val="24"/>
              </w:rPr>
              <w:t>一、本年新收政府信息公开申请数量</w:t>
            </w:r>
          </w:p>
        </w:tc>
        <w:tc>
          <w:tcPr>
            <w:tcW w:w="159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9"/>
                <w:szCs w:val="24"/>
              </w:rPr>
            </w:pPr>
          </w:p>
        </w:tc>
        <w:tc>
          <w:tcPr>
            <w:tcW w:w="2385"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9"/>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瀹嬩綋" w:hAnsi="瀹嬩綋" w:eastAsia="瀹嬩綋"/>
                <w:color w:val="333333"/>
                <w:sz w:val="19"/>
                <w:szCs w:val="24"/>
              </w:rPr>
            </w:pPr>
            <w:r>
              <w:rPr>
                <w:rFonts w:hint="eastAsia" w:ascii="瀹嬩綋" w:hAnsi="瀹嬩綋" w:eastAsia="瀹嬩綋"/>
                <w:color w:val="333333"/>
                <w:sz w:val="19"/>
                <w:szCs w:val="24"/>
              </w:rPr>
              <w:t>二、上年结转政府信息公开申请数量</w:t>
            </w:r>
          </w:p>
        </w:tc>
        <w:tc>
          <w:tcPr>
            <w:tcW w:w="159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9"/>
                <w:szCs w:val="24"/>
              </w:rPr>
            </w:pPr>
          </w:p>
        </w:tc>
        <w:tc>
          <w:tcPr>
            <w:tcW w:w="2385"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9"/>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r>
              <w:rPr>
                <w:rFonts w:hint="eastAsia" w:ascii="瀹嬩綋" w:hAnsi="瀹嬩綋" w:eastAsia="瀹嬩綋"/>
                <w:color w:val="333333"/>
                <w:sz w:val="19"/>
                <w:szCs w:val="24"/>
              </w:rPr>
              <w:t>三、本年度办理结果</w:t>
            </w: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（一）予以公开</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（二）部分公开（区分处理的，只计这一情形，不计其他情形）</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（三）不予公开</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1.属于国家秘密</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2.其他法律行政法规禁止公开</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3.危及“三安全一稳定”</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4.保护第三方合法权益</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5.属于三类内部事务信息</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6.属于四类过程性信息</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7.属于行政执法案卷</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浠垮畫" w:hAnsi="浠垮畫" w:eastAsia="浠垮畫"/>
                <w:color w:val="333333"/>
                <w:sz w:val="19"/>
                <w:szCs w:val="24"/>
              </w:rPr>
            </w:pPr>
            <w:r>
              <w:rPr>
                <w:rFonts w:hint="eastAsia" w:ascii="浠垮畫" w:hAnsi="浠垮畫" w:eastAsia="浠垮畫"/>
                <w:color w:val="333333"/>
                <w:sz w:val="19"/>
                <w:szCs w:val="24"/>
              </w:rPr>
              <w:t>8.属于行政查询事项</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（四）无法提供</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1.本机关不掌握相关政府信息</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2.没有现成信息需要另行制作</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3.补正后申请内容仍不明确</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（五）不予处理</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1.信访举报投诉类申请</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2.重复申请</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3.要求提供公开出版物</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4.无正当理由大量反复申请</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5.要求行政机关确认或重新出具已获取信息</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nil"/>
              <w:right w:val="single" w:color="000000" w:sz="12" w:space="0"/>
              <w:tl2br w:val="nil"/>
              <w:tr2bl w:val="nil"/>
            </w:tcBorders>
            <w:shd w:val="solid" w:color="FFFFFF" w:fill="auto"/>
            <w:noWrap w:val="0"/>
            <w:vAlign w:val="top"/>
          </w:tcPr>
          <w:p>
            <w:pPr>
              <w:spacing w:beforeLines="0" w:afterLines="0"/>
              <w:jc w:val="center"/>
              <w:rPr>
                <w:rFonts w:hint="eastAsia" w:ascii="妤蜂綋" w:hAnsi="妤蜂綋" w:eastAsia="妤蜂綋"/>
                <w:color w:val="333333"/>
                <w:sz w:val="19"/>
                <w:szCs w:val="24"/>
              </w:rPr>
            </w:pPr>
            <w:r>
              <w:rPr>
                <w:rFonts w:hint="eastAsia" w:ascii="妤蜂綋" w:hAnsi="妤蜂綋" w:eastAsia="妤蜂綋"/>
                <w:color w:val="333333"/>
                <w:sz w:val="19"/>
                <w:szCs w:val="24"/>
              </w:rPr>
              <w:t>（六）其他处理</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1.申请人无正当理由逾期不补正、行政机关不再处理其政府信息公开申请</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妤蜂綋" w:hAnsi="妤蜂綋" w:eastAsia="妤蜂綋"/>
                <w:color w:val="333333"/>
                <w:sz w:val="19"/>
                <w:szCs w:val="24"/>
              </w:rPr>
            </w:pP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2.申请人逾期未按收费通知要求缴纳费用、行政机关不再处理其政府信息公开申请</w:t>
            </w: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瀹嬩綋" w:hAnsi="瀹嬩綋" w:eastAsia="瀹嬩綋"/>
                <w:color w:val="333333"/>
                <w:sz w:val="19"/>
                <w:szCs w:val="24"/>
              </w:rPr>
            </w:pPr>
          </w:p>
        </w:tc>
        <w:tc>
          <w:tcPr>
            <w:tcW w:w="159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妤蜂綋" w:hAnsi="妤蜂綋" w:eastAsia="妤蜂綋"/>
                <w:color w:val="333333"/>
                <w:sz w:val="19"/>
                <w:szCs w:val="24"/>
              </w:rPr>
            </w:pPr>
            <w:r>
              <w:rPr>
                <w:rFonts w:hint="eastAsia" w:ascii="妤蜂綋" w:hAnsi="妤蜂綋" w:eastAsia="妤蜂綋"/>
                <w:color w:val="333333"/>
                <w:sz w:val="19"/>
                <w:szCs w:val="24"/>
              </w:rPr>
              <w:t>（七）总计</w:t>
            </w:r>
          </w:p>
        </w:tc>
        <w:tc>
          <w:tcPr>
            <w:tcW w:w="238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妤蜂綋" w:hAnsi="妤蜂綋" w:eastAsia="妤蜂綋"/>
                <w:color w:val="333333"/>
                <w:sz w:val="19"/>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left"/>
              <w:rPr>
                <w:rFonts w:hint="eastAsia" w:ascii="瀹嬩綋" w:hAnsi="瀹嬩綋" w:eastAsia="瀹嬩綋"/>
                <w:color w:val="333333"/>
                <w:sz w:val="19"/>
                <w:szCs w:val="24"/>
              </w:rPr>
            </w:pPr>
            <w:r>
              <w:rPr>
                <w:rFonts w:hint="eastAsia" w:ascii="瀹嬩綋" w:hAnsi="瀹嬩綋" w:eastAsia="瀹嬩綋"/>
                <w:color w:val="333333"/>
                <w:sz w:val="19"/>
                <w:szCs w:val="24"/>
              </w:rPr>
              <w:t>四、结转下年度继续办理</w:t>
            </w:r>
          </w:p>
        </w:tc>
        <w:tc>
          <w:tcPr>
            <w:tcW w:w="1590"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9"/>
                <w:szCs w:val="24"/>
              </w:rPr>
            </w:pPr>
          </w:p>
        </w:tc>
        <w:tc>
          <w:tcPr>
            <w:tcW w:w="2385" w:type="dxa"/>
            <w:tcBorders>
              <w:top w:val="nil"/>
              <w:left w:val="single" w:color="000000" w:sz="12" w:space="0"/>
              <w:bottom w:val="single" w:color="000000" w:sz="12" w:space="0"/>
              <w:right w:val="single" w:color="000000" w:sz="12" w:space="0"/>
              <w:tl2br w:val="nil"/>
              <w:tr2bl w:val="nil"/>
            </w:tcBorders>
            <w:shd w:val="solid" w:color="FFFFFF" w:fill="auto"/>
            <w:noWrap w:val="0"/>
            <w:vAlign w:val="top"/>
          </w:tcPr>
          <w:p>
            <w:pPr>
              <w:spacing w:beforeLines="0" w:afterLines="0"/>
              <w:jc w:val="right"/>
              <w:rPr>
                <w:rFonts w:hint="eastAsia" w:ascii="瀹嬩綋" w:hAnsi="瀹嬩綋" w:eastAsia="瀹嬩綋"/>
                <w:color w:val="333333"/>
                <w:sz w:val="19"/>
                <w:szCs w:val="24"/>
              </w:rPr>
            </w:pPr>
          </w:p>
        </w:tc>
        <w:tc>
          <w:tcPr>
            <w:tcW w:w="105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3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6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275"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c>
          <w:tcPr>
            <w:tcW w:w="1080" w:type="dxa"/>
            <w:tcBorders>
              <w:top w:val="nil"/>
              <w:left w:val="nil"/>
              <w:bottom w:val="single" w:color="000000" w:sz="12" w:space="0"/>
              <w:right w:val="single" w:color="000000" w:sz="12" w:space="0"/>
              <w:tl2br w:val="nil"/>
              <w:tr2bl w:val="nil"/>
            </w:tcBorders>
            <w:shd w:val="solid" w:color="FFFFFF" w:fill="auto"/>
            <w:noWrap w:val="0"/>
            <w:vAlign w:val="top"/>
          </w:tcPr>
          <w:p>
            <w:pPr>
              <w:spacing w:beforeLines="0" w:afterLines="0"/>
              <w:jc w:val="center"/>
              <w:rPr>
                <w:rFonts w:hint="eastAsia" w:ascii="寰蒋闆呴粦" w:hAnsi="寰蒋闆呴粦" w:eastAsia="寰蒋闆呴粦"/>
                <w:color w:val="333333"/>
                <w:sz w:val="21"/>
                <w:szCs w:val="24"/>
              </w:rPr>
            </w:pPr>
            <w:r>
              <w:rPr>
                <w:rFonts w:hint="eastAsia" w:ascii="寰蒋闆呴粦" w:hAnsi="寰蒋闆呴粦" w:eastAsia="寰蒋闆呴粦"/>
                <w:color w:val="333333"/>
                <w:sz w:val="21"/>
                <w:szCs w:val="24"/>
              </w:rPr>
              <w:t>0</w:t>
            </w:r>
          </w:p>
        </w:tc>
      </w:tr>
    </w:tbl>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rightChars="0" w:firstLine="640" w:firstLineChars="200"/>
        <w:jc w:val="both"/>
        <w:textAlignment w:val="auto"/>
        <w:rPr>
          <w:rFonts w:hint="eastAsia" w:ascii="黑体" w:hAnsi="黑体" w:eastAsia="黑体" w:cs="黑体"/>
          <w:color w:val="000000"/>
          <w:sz w:val="32"/>
          <w:szCs w:val="32"/>
          <w:shd w:val="clear" w:fill="FFFFFF"/>
          <w:lang w:eastAsia="zh-CN"/>
        </w:rPr>
      </w:pPr>
    </w:p>
    <w:p>
      <w:pPr>
        <w:pStyle w:val="2"/>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color w:val="000000"/>
          <w:sz w:val="32"/>
          <w:szCs w:val="32"/>
          <w:shd w:val="clear" w:fill="FFFFFF"/>
          <w:lang w:eastAsia="zh-CN"/>
        </w:rPr>
      </w:pPr>
      <w:r>
        <w:rPr>
          <w:rFonts w:hint="eastAsia" w:ascii="黑体" w:hAnsi="黑体" w:eastAsia="黑体" w:cs="黑体"/>
          <w:color w:val="000000"/>
          <w:sz w:val="32"/>
          <w:szCs w:val="32"/>
          <w:shd w:val="clear" w:fill="FFFFFF"/>
          <w:lang w:eastAsia="zh-CN"/>
        </w:rPr>
        <w:t>因政府信息公开工作被申请执行行政复议、提起行政诉讼情况</w:t>
      </w:r>
    </w:p>
    <w:tbl>
      <w:tblPr>
        <w:tblStyle w:val="3"/>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行政复议</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（因政府信息公开被行政复议）</w:t>
            </w:r>
          </w:p>
        </w:tc>
        <w:tc>
          <w:tcPr>
            <w:tcW w:w="5685" w:type="dxa"/>
            <w:gridSpan w:val="10"/>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行政诉讼</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（因政府信息公开被行政诉讼）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7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结果维护</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结果纠正</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其他结果</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尚未审结</w:t>
            </w:r>
          </w:p>
        </w:tc>
        <w:tc>
          <w:tcPr>
            <w:tcW w:w="570"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c>
          <w:tcPr>
            <w:tcW w:w="283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未经复议直接起诉</w:t>
            </w:r>
          </w:p>
        </w:tc>
        <w:tc>
          <w:tcPr>
            <w:tcW w:w="2835" w:type="dxa"/>
            <w:gridSpan w:val="5"/>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7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结果维护</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结果纠正</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其他结果</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尚未审结</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结果维护</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结果纠正</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其他结果</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尚未审结</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570" w:type="dxa"/>
            <w:tcBorders>
              <w:top w:val="nil"/>
              <w:left w:val="single" w:color="auto" w:sz="6" w:space="0"/>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c>
          <w:tcPr>
            <w:tcW w:w="570" w:type="dxa"/>
            <w:tcBorders>
              <w:top w:val="nil"/>
              <w:left w:val="nil"/>
              <w:bottom w:val="single" w:color="auto" w:sz="6" w:space="0"/>
              <w:right w:val="single" w:color="auto" w:sz="6" w:space="0"/>
            </w:tcBorders>
            <w:shd w:val="clear" w:color="auto" w:fill="auto"/>
            <w:tcMar>
              <w:left w:w="105" w:type="dxa"/>
              <w:right w:w="105" w:type="dxa"/>
            </w:tcMar>
            <w:vAlign w:val="top"/>
          </w:tcPr>
          <w:p>
            <w:pPr>
              <w:pStyle w:val="2"/>
              <w:keepNext w:val="0"/>
              <w:keepLines w:val="0"/>
              <w:pageBreakBefore w:val="0"/>
              <w:widowControl/>
              <w:suppressLineNumbers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0</w:t>
            </w:r>
          </w:p>
        </w:tc>
      </w:tr>
    </w:tbl>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rightChars="0"/>
        <w:jc w:val="both"/>
        <w:textAlignment w:val="auto"/>
        <w:rPr>
          <w:rFonts w:hint="eastAsia" w:ascii="黑体" w:hAnsi="黑体" w:eastAsia="黑体" w:cs="黑体"/>
          <w:color w:val="000000"/>
          <w:sz w:val="32"/>
          <w:szCs w:val="32"/>
          <w:shd w:val="clear" w:fill="FFFFFF"/>
          <w:lang w:eastAsia="zh-CN"/>
        </w:rPr>
      </w:pPr>
    </w:p>
    <w:p>
      <w:pPr>
        <w:pStyle w:val="2"/>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color w:val="000000"/>
          <w:sz w:val="32"/>
          <w:szCs w:val="32"/>
          <w:shd w:val="clear" w:fill="FFFFFF"/>
          <w:lang w:eastAsia="zh-CN"/>
        </w:rPr>
      </w:pPr>
      <w:r>
        <w:rPr>
          <w:rFonts w:hint="eastAsia" w:ascii="黑体" w:hAnsi="黑体" w:eastAsia="黑体" w:cs="黑体"/>
          <w:color w:val="000000"/>
          <w:sz w:val="32"/>
          <w:szCs w:val="32"/>
          <w:shd w:val="clear" w:fill="FFFFFF"/>
          <w:lang w:eastAsia="zh-CN"/>
        </w:rPr>
        <w:t>政府信息公开工作存在的主要问题及改进情况。</w:t>
      </w:r>
    </w:p>
    <w:p>
      <w:pPr>
        <w:pStyle w:val="2"/>
        <w:keepNext w:val="0"/>
        <w:keepLines w:val="0"/>
        <w:widowControl/>
        <w:suppressLineNumbers w:val="0"/>
        <w:shd w:val="clear" w:fill="FFFFFF"/>
        <w:spacing w:before="46" w:beforeAutospacing="0" w:after="0" w:afterAutospacing="0" w:line="520" w:lineRule="atLeast"/>
        <w:ind w:left="0" w:right="0"/>
        <w:jc w:val="both"/>
      </w:pPr>
      <w:r>
        <w:rPr>
          <w:rFonts w:ascii="仿宋_gb2312" w:hAnsi="仿宋_gb2312" w:eastAsia="仿宋_gb2312" w:cs="仿宋_gb2312"/>
          <w:kern w:val="0"/>
          <w:sz w:val="31"/>
          <w:szCs w:val="31"/>
          <w:shd w:val="clear" w:fill="FFFFFF"/>
          <w:lang w:val="en-US" w:eastAsia="zh-CN" w:bidi="ar"/>
        </w:rPr>
        <w:t>虽然</w:t>
      </w:r>
      <w:r>
        <w:rPr>
          <w:rFonts w:ascii="Times New Roman" w:hAnsi="Times New Roman" w:eastAsia="仿宋_gb2312" w:cs="Times New Roman"/>
          <w:kern w:val="0"/>
          <w:sz w:val="31"/>
          <w:szCs w:val="31"/>
          <w:shd w:val="clear" w:fill="FFFFFF"/>
          <w:lang w:val="en-US" w:eastAsia="zh-CN" w:bidi="ar"/>
        </w:rPr>
        <w:t>2021</w:t>
      </w:r>
      <w:r>
        <w:rPr>
          <w:rFonts w:hint="default" w:ascii="仿宋_gb2312" w:hAnsi="仿宋_gb2312" w:eastAsia="仿宋_gb2312" w:cs="仿宋_gb2312"/>
          <w:kern w:val="0"/>
          <w:sz w:val="31"/>
          <w:szCs w:val="31"/>
          <w:shd w:val="clear" w:fill="FFFFFF"/>
          <w:lang w:val="en-US" w:eastAsia="zh-CN" w:bidi="ar"/>
        </w:rPr>
        <w:t>年市商务局政务公开工作取得了一定的成绩，但对照市政务公开科的要求，还存在着一定的问题和不足。</w:t>
      </w:r>
      <w:r>
        <w:rPr>
          <w:rFonts w:ascii="仿宋_gb2312" w:eastAsia="仿宋_gb2312" w:cs="仿宋_gb2312"/>
          <w:color w:val="000000"/>
          <w:kern w:val="0"/>
          <w:sz w:val="32"/>
          <w:szCs w:val="32"/>
          <w:shd w:val="clear" w:fill="FFFFFF"/>
          <w:lang w:val="en-US" w:eastAsia="zh-CN" w:bidi="ar"/>
        </w:rPr>
        <w:t>第一，</w:t>
      </w:r>
      <w:r>
        <w:rPr>
          <w:rFonts w:hint="default" w:ascii="仿宋_gb2312" w:eastAsia="仿宋_gb2312" w:cs="仿宋_gb2312"/>
          <w:color w:val="000000"/>
          <w:kern w:val="0"/>
          <w:sz w:val="32"/>
          <w:szCs w:val="32"/>
          <w:shd w:val="clear" w:fill="FFFFFF"/>
          <w:lang w:val="en-US" w:eastAsia="zh-CN" w:bidi="ar"/>
        </w:rPr>
        <w:t>需加强重点领域信息公开力度；第二，政策解读的形式需多样化。</w:t>
      </w:r>
    </w:p>
    <w:p>
      <w:pPr>
        <w:pStyle w:val="2"/>
        <w:keepNext w:val="0"/>
        <w:keepLines w:val="0"/>
        <w:widowControl/>
        <w:suppressLineNumbers w:val="0"/>
        <w:shd w:val="clear" w:fill="FFFFFF"/>
        <w:autoSpaceDE w:val="0"/>
        <w:autoSpaceDN/>
        <w:spacing w:before="46" w:beforeAutospacing="0" w:after="0" w:afterAutospacing="0" w:line="520" w:lineRule="exact"/>
        <w:ind w:left="0" w:right="0" w:firstLine="420"/>
        <w:jc w:val="both"/>
      </w:pPr>
      <w:r>
        <w:rPr>
          <w:rFonts w:hint="default" w:ascii="仿宋_gb2312" w:eastAsia="仿宋_gb2312" w:cs="仿宋_gb2312"/>
          <w:color w:val="000000"/>
          <w:kern w:val="0"/>
          <w:sz w:val="32"/>
          <w:szCs w:val="32"/>
          <w:shd w:val="clear" w:fill="FFFFFF"/>
          <w:lang w:val="en-US" w:eastAsia="zh-CN" w:bidi="ar"/>
        </w:rPr>
        <w:t>改进措施：一是继续加强宣传培训学习；强化培养政务公开意识，加强政策理论学习、研究，深入贯彻公开理念，确保政府信息公开工作落到实处。二是加强重点领域信息公开，加大回应解读力度，丰富政策解读的内容和形式，不仅局限于文字解读，拓宽解读方式，同时，定期回应公众关注的热点或重大舆情。</w:t>
      </w:r>
    </w:p>
    <w:p>
      <w:pPr>
        <w:pStyle w:val="2"/>
        <w:keepNext w:val="0"/>
        <w:keepLines w:val="0"/>
        <w:widowControl/>
        <w:suppressLineNumbers w:val="0"/>
        <w:shd w:val="clear" w:fill="FFFFFF"/>
        <w:autoSpaceDE w:val="0"/>
        <w:autoSpaceDN/>
        <w:spacing w:before="45" w:beforeAutospacing="0" w:after="0" w:afterAutospacing="0" w:line="23" w:lineRule="atLeast"/>
        <w:ind w:left="0" w:right="0" w:firstLine="645"/>
        <w:jc w:val="both"/>
      </w:pPr>
      <w:r>
        <w:rPr>
          <w:rFonts w:hint="default" w:ascii="仿宋_gb2312" w:hAnsi="仿宋_gb2312" w:eastAsia="仿宋_gb2312" w:cs="仿宋_gb2312"/>
          <w:sz w:val="31"/>
          <w:szCs w:val="31"/>
          <w:shd w:val="clear" w:fill="FFFFFF"/>
        </w:rPr>
        <w:t>综上，我局将始终坚持问题导向，加强组织领导，加大工作力度，健全体制，明确责任，积极寻找突破口，确保各项工作得到有效落实，促进我局政务公开工作再上新台阶。</w:t>
      </w:r>
    </w:p>
    <w:p>
      <w:pPr>
        <w:pStyle w:val="2"/>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firstLine="640" w:firstLineChars="200"/>
        <w:jc w:val="both"/>
        <w:textAlignment w:val="auto"/>
        <w:rPr>
          <w:rFonts w:hint="eastAsia" w:ascii="黑体" w:hAnsi="黑体" w:eastAsia="黑体" w:cs="黑体"/>
          <w:color w:val="000000"/>
          <w:sz w:val="32"/>
          <w:szCs w:val="32"/>
          <w:shd w:val="clear" w:fill="FFFFFF"/>
          <w:lang w:eastAsia="zh-CN"/>
        </w:rPr>
      </w:pPr>
      <w:r>
        <w:rPr>
          <w:rFonts w:hint="eastAsia" w:ascii="黑体" w:hAnsi="黑体" w:eastAsia="黑体" w:cs="黑体"/>
          <w:color w:val="000000"/>
          <w:sz w:val="32"/>
          <w:szCs w:val="32"/>
          <w:shd w:val="clear" w:fill="FFFFFF"/>
          <w:lang w:eastAsia="zh-CN"/>
        </w:rPr>
        <w:t>其他需要报告的事项</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46"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000000"/>
          <w:sz w:val="32"/>
          <w:szCs w:val="32"/>
          <w:shd w:val="clear" w:fill="FFFFFF"/>
          <w:lang w:eastAsia="zh-CN"/>
        </w:rPr>
      </w:pPr>
      <w:r>
        <w:rPr>
          <w:rFonts w:hint="eastAsia" w:ascii="仿宋_GB2312" w:hAnsi="仿宋_GB2312" w:eastAsia="仿宋_GB2312" w:cs="仿宋_GB2312"/>
          <w:color w:val="000000"/>
          <w:sz w:val="32"/>
          <w:szCs w:val="32"/>
          <w:shd w:val="clear" w:fill="FFFFFF"/>
          <w:lang w:eastAsia="zh-CN"/>
        </w:rPr>
        <w:t>无</w:t>
      </w:r>
    </w:p>
    <w:p>
      <w:pPr>
        <w:numPr>
          <w:ilvl w:val="0"/>
          <w:numId w:val="0"/>
        </w:numPr>
        <w:ind w:firstLine="640" w:firstLineChars="200"/>
        <w:jc w:val="left"/>
        <w:rPr>
          <w:rFonts w:hint="default"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瀹嬩綋">
    <w:altName w:val="华文中宋"/>
    <w:panose1 w:val="00000000000000000000"/>
    <w:charset w:val="00"/>
    <w:family w:val="auto"/>
    <w:pitch w:val="default"/>
    <w:sig w:usb0="00000000" w:usb1="00000000" w:usb2="00000000" w:usb3="00000000" w:csb0="00040001" w:csb1="00000000"/>
  </w:font>
  <w:font w:name="寰蒋闆呴粦">
    <w:altName w:val="华文中宋"/>
    <w:panose1 w:val="00000000000000000000"/>
    <w:charset w:val="00"/>
    <w:family w:val="auto"/>
    <w:pitch w:val="default"/>
    <w:sig w:usb0="00000000" w:usb1="00000000" w:usb2="00000000" w:usb3="00000000" w:csb0="00040001" w:csb1="00000000"/>
  </w:font>
  <w:font w:name="妤蜂綋">
    <w:altName w:val="华文中宋"/>
    <w:panose1 w:val="00000000000000000000"/>
    <w:charset w:val="00"/>
    <w:family w:val="auto"/>
    <w:pitch w:val="default"/>
    <w:sig w:usb0="00000000" w:usb1="00000000" w:usb2="00000000" w:usb3="00000000" w:csb0="00040001" w:csb1="00000000"/>
  </w:font>
  <w:font w:name="浠垮畫">
    <w:altName w:val="华文中宋"/>
    <w:panose1 w:val="00000000000000000000"/>
    <w:charset w:val="00"/>
    <w:family w:val="auto"/>
    <w:pitch w:val="default"/>
    <w:sig w:usb0="00000000" w:usb1="00000000" w:usb2="00000000"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E3182"/>
    <w:multiLevelType w:val="singleLevel"/>
    <w:tmpl w:val="C79E3182"/>
    <w:lvl w:ilvl="0" w:tentative="0">
      <w:start w:val="2"/>
      <w:numFmt w:val="decimal"/>
      <w:suff w:val="space"/>
      <w:lvlText w:val="%1."/>
      <w:lvlJc w:val="left"/>
    </w:lvl>
  </w:abstractNum>
  <w:abstractNum w:abstractNumId="1">
    <w:nsid w:val="FFCACA11"/>
    <w:multiLevelType w:val="singleLevel"/>
    <w:tmpl w:val="FFCACA11"/>
    <w:lvl w:ilvl="0" w:tentative="0">
      <w:start w:val="2"/>
      <w:numFmt w:val="chineseCounting"/>
      <w:suff w:val="nothing"/>
      <w:lvlText w:val="%1、"/>
      <w:lvlJc w:val="left"/>
      <w:rPr>
        <w:rFonts w:hint="eastAsia"/>
      </w:rPr>
    </w:lvl>
  </w:abstractNum>
  <w:abstractNum w:abstractNumId="2">
    <w:nsid w:val="FFF8E8B2"/>
    <w:multiLevelType w:val="singleLevel"/>
    <w:tmpl w:val="FFF8E8B2"/>
    <w:lvl w:ilvl="0" w:tentative="0">
      <w:start w:val="1"/>
      <w:numFmt w:val="chineseCounting"/>
      <w:suff w:val="nothing"/>
      <w:lvlText w:val="（%1）"/>
      <w:lvlJc w:val="left"/>
      <w:rPr>
        <w:rFonts w:hint="eastAsia"/>
      </w:rPr>
    </w:lvl>
  </w:abstractNum>
  <w:abstractNum w:abstractNumId="3">
    <w:nsid w:val="756C32B2"/>
    <w:multiLevelType w:val="singleLevel"/>
    <w:tmpl w:val="756C32B2"/>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F854B4"/>
    <w:rsid w:val="2F9EE8B3"/>
    <w:rsid w:val="66DD5CD9"/>
    <w:rsid w:val="774378DE"/>
    <w:rsid w:val="7FEF9744"/>
    <w:rsid w:val="D7CDD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2022-01-12T02:12:00Z</dcterms:created>
  <dc:creator>admin123</dc:creator>
  <cp:lastModifiedBy>admin123</cp:lastModifiedBy>
  <dcterms:modified xsi:type="dcterms:W3CDTF">2024-01-15T14:45:40Z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