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45" w:beforeAutospacing="0" w:line="52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b/>
          <w:bCs/>
          <w:kern w:val="0"/>
          <w:sz w:val="44"/>
          <w:szCs w:val="44"/>
          <w:lang w:val="en-US" w:eastAsia="zh-CN" w:bidi="ar"/>
        </w:rPr>
        <w:t>宜春市商务局2020年政府信息公开工作年度报告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宜春市</w:t>
      </w:r>
      <w:r>
        <w:rPr>
          <w:rFonts w:hint="eastAsia" w:ascii="仿宋_GB2312" w:hAnsi="仿宋_GB2312" w:eastAsia="仿宋_GB2312" w:cs="仿宋_GB2312"/>
          <w:color w:val="000000"/>
          <w:sz w:val="32"/>
          <w:szCs w:val="32"/>
          <w:shd w:val="clear" w:fill="FFFFFF"/>
          <w:lang w:eastAsia="zh-CN"/>
        </w:rPr>
        <w:t>商务局</w:t>
      </w:r>
      <w:r>
        <w:rPr>
          <w:rFonts w:hint="eastAsia" w:ascii="仿宋_GB2312" w:hAnsi="仿宋_GB2312" w:eastAsia="仿宋_GB2312" w:cs="仿宋_GB2312"/>
          <w:color w:val="000000"/>
          <w:sz w:val="32"/>
          <w:szCs w:val="32"/>
          <w:shd w:val="clear" w:fill="FFFFFF"/>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市</w:t>
      </w:r>
      <w:r>
        <w:rPr>
          <w:rFonts w:hint="eastAsia" w:ascii="仿宋_GB2312" w:hAnsi="仿宋_GB2312" w:eastAsia="仿宋_GB2312" w:cs="仿宋_GB2312"/>
          <w:color w:val="000000"/>
          <w:sz w:val="32"/>
          <w:szCs w:val="32"/>
          <w:shd w:val="clear" w:fill="FFFFFF"/>
          <w:lang w:eastAsia="zh-CN"/>
        </w:rPr>
        <w:t>商务局</w:t>
      </w:r>
      <w:r>
        <w:rPr>
          <w:rFonts w:hint="eastAsia" w:ascii="仿宋_GB2312" w:hAnsi="仿宋_GB2312" w:eastAsia="仿宋_GB2312" w:cs="仿宋_GB2312"/>
          <w:color w:val="000000"/>
          <w:sz w:val="32"/>
          <w:szCs w:val="32"/>
          <w:shd w:val="clear" w:fill="FFFFFF"/>
        </w:rPr>
        <w:t>网站（http://ycwjmw.yichun.gov.cn/）下载。如对本报告有任何疑问，请与宜春市</w:t>
      </w:r>
      <w:r>
        <w:rPr>
          <w:rFonts w:hint="eastAsia" w:ascii="仿宋_GB2312" w:hAnsi="仿宋_GB2312" w:eastAsia="仿宋_GB2312" w:cs="仿宋_GB2312"/>
          <w:color w:val="000000"/>
          <w:sz w:val="32"/>
          <w:szCs w:val="32"/>
          <w:shd w:val="clear" w:fill="FFFFFF"/>
          <w:lang w:eastAsia="zh-CN"/>
        </w:rPr>
        <w:t>商务局</w:t>
      </w:r>
      <w:r>
        <w:rPr>
          <w:rFonts w:hint="eastAsia" w:ascii="仿宋_GB2312" w:hAnsi="仿宋_GB2312" w:eastAsia="仿宋_GB2312" w:cs="仿宋_GB2312"/>
          <w:color w:val="000000"/>
          <w:sz w:val="32"/>
          <w:szCs w:val="32"/>
          <w:shd w:val="clear" w:fill="FFFFFF"/>
        </w:rPr>
        <w:t>联系（地址：江西省宜春市袁州区宜阳大厦中座</w:t>
      </w:r>
      <w:r>
        <w:rPr>
          <w:rFonts w:hint="eastAsia" w:ascii="仿宋_GB2312" w:hAnsi="仿宋_GB2312" w:eastAsia="仿宋_GB2312" w:cs="仿宋_GB2312"/>
          <w:color w:val="000000"/>
          <w:sz w:val="32"/>
          <w:szCs w:val="32"/>
          <w:shd w:val="clear" w:fill="FFFFFF"/>
          <w:lang w:val="en-US" w:eastAsia="zh-CN"/>
        </w:rPr>
        <w:t>5</w:t>
      </w:r>
      <w:r>
        <w:rPr>
          <w:rFonts w:hint="eastAsia" w:ascii="仿宋_GB2312" w:hAnsi="仿宋_GB2312" w:eastAsia="仿宋_GB2312" w:cs="仿宋_GB2312"/>
          <w:color w:val="000000"/>
          <w:sz w:val="32"/>
          <w:szCs w:val="32"/>
          <w:shd w:val="clear" w:fill="FFFFFF"/>
        </w:rPr>
        <w:t>楼，电话：0795-32</w:t>
      </w:r>
      <w:r>
        <w:rPr>
          <w:rFonts w:hint="eastAsia" w:ascii="仿宋_GB2312" w:hAnsi="仿宋_GB2312" w:eastAsia="仿宋_GB2312" w:cs="仿宋_GB2312"/>
          <w:color w:val="000000"/>
          <w:sz w:val="32"/>
          <w:szCs w:val="32"/>
          <w:shd w:val="clear" w:fill="FFFFFF"/>
          <w:lang w:val="en-US" w:eastAsia="zh-CN"/>
        </w:rPr>
        <w:t>24056</w:t>
      </w:r>
      <w:r>
        <w:rPr>
          <w:rFonts w:hint="eastAsia" w:ascii="仿宋_GB2312" w:hAnsi="仿宋_GB2312" w:eastAsia="仿宋_GB2312" w:cs="仿宋_GB2312"/>
          <w:color w:val="000000"/>
          <w:sz w:val="32"/>
          <w:szCs w:val="32"/>
          <w:shd w:val="clear" w:fill="FFFFFF"/>
        </w:rPr>
        <w:t>，邮编：336000）。</w:t>
      </w:r>
      <w:r>
        <w:rPr>
          <w:rFonts w:hint="eastAsia" w:ascii="仿宋_GB2312" w:hAnsi="仿宋_GB2312" w:eastAsia="仿宋_GB2312" w:cs="仿宋_GB2312"/>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黑体" w:hAnsi="黑体" w:eastAsia="黑体" w:cs="黑体"/>
          <w:color w:val="000000"/>
          <w:sz w:val="32"/>
          <w:szCs w:val="32"/>
          <w:shd w:val="clear" w:fill="FFFFFF"/>
        </w:rPr>
      </w:pPr>
      <w:r>
        <w:rPr>
          <w:rFonts w:hint="eastAsia" w:ascii="黑体" w:hAnsi="黑体" w:eastAsia="黑体" w:cs="黑体"/>
          <w:color w:val="000000"/>
          <w:sz w:val="32"/>
          <w:szCs w:val="32"/>
          <w:shd w:val="clear" w:fill="FFFFFF"/>
          <w:lang w:eastAsia="zh-CN"/>
        </w:rPr>
        <w:t>一、</w:t>
      </w:r>
      <w:r>
        <w:rPr>
          <w:rFonts w:hint="eastAsia" w:ascii="黑体" w:hAnsi="黑体" w:eastAsia="黑体" w:cs="黑体"/>
          <w:color w:val="000000"/>
          <w:sz w:val="32"/>
          <w:szCs w:val="32"/>
          <w:shd w:val="clear" w:fill="FFFFFF"/>
        </w:rPr>
        <w:t>总体情况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楷体_GB2312" w:hAnsi="楷体_GB2312" w:eastAsia="楷体_GB2312" w:cs="楷体_GB2312"/>
          <w:color w:val="000000"/>
          <w:sz w:val="32"/>
          <w:szCs w:val="32"/>
          <w:shd w:val="clear" w:fill="FFFFFF"/>
          <w:lang w:val="en-US"/>
        </w:rPr>
      </w:pPr>
      <w:r>
        <w:rPr>
          <w:rFonts w:hint="eastAsia" w:ascii="楷体_GB2312" w:hAnsi="楷体_GB2312" w:eastAsia="楷体_GB2312" w:cs="楷体_GB2312"/>
          <w:color w:val="000000"/>
          <w:sz w:val="32"/>
          <w:szCs w:val="32"/>
          <w:shd w:val="clear" w:fill="FFFFFF"/>
          <w:lang w:eastAsia="zh-CN"/>
        </w:rPr>
        <w:t>（一）全面强化权力信息公开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rPr>
      </w:pPr>
      <w:r>
        <w:rPr>
          <w:rFonts w:hint="eastAsia" w:ascii="仿宋_GB2312" w:hAnsi="仿宋_GB2312" w:eastAsia="仿宋_GB2312" w:cs="仿宋_GB2312"/>
          <w:b/>
          <w:bCs/>
          <w:color w:val="000000"/>
          <w:sz w:val="32"/>
          <w:szCs w:val="32"/>
          <w:shd w:val="clear" w:fill="FFFFFF"/>
          <w:lang w:eastAsia="zh-CN"/>
        </w:rPr>
        <w:t>一是加强权力配置信息公开。</w:t>
      </w:r>
      <w:r>
        <w:rPr>
          <w:rFonts w:hint="eastAsia" w:ascii="仿宋_GB2312" w:hAnsi="仿宋_GB2312" w:eastAsia="仿宋_GB2312" w:cs="仿宋_GB2312"/>
          <w:color w:val="000000"/>
          <w:sz w:val="32"/>
          <w:szCs w:val="32"/>
          <w:shd w:val="clear" w:fill="FFFFFF"/>
          <w:lang w:eastAsia="zh-CN"/>
        </w:rPr>
        <w:t>认真对照法律法规规章，全面梳理市商务局依法行使的行政权力和依法承担的公共服务职责，依法及时公开局机关职能、机构设置、办公地址、办公时间、联系方式、</w:t>
      </w:r>
      <w:r>
        <w:rPr>
          <w:rFonts w:hint="eastAsia" w:ascii="仿宋_GB2312" w:hAnsi="仿宋_GB2312" w:eastAsia="仿宋_GB2312" w:cs="仿宋_GB2312"/>
          <w:kern w:val="2"/>
          <w:sz w:val="32"/>
          <w:szCs w:val="32"/>
          <w:shd w:val="clear" w:fill="FFFFFF"/>
          <w:lang w:eastAsia="zh-CN"/>
        </w:rPr>
        <w:t>负责人姓名等信息。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二是加强权力运行过程信息公开。</w:t>
      </w:r>
      <w:r>
        <w:rPr>
          <w:rFonts w:hint="eastAsia" w:ascii="仿宋_GB2312" w:hAnsi="仿宋_GB2312" w:eastAsia="仿宋_GB2312" w:cs="仿宋_GB2312"/>
          <w:kern w:val="2"/>
          <w:sz w:val="32"/>
          <w:szCs w:val="32"/>
          <w:shd w:val="clear" w:fill="FFFFFF"/>
          <w:lang w:eastAsia="zh-CN"/>
        </w:rPr>
        <w:t>完善重大行政决策预公开机制，对涉及人民群众切身利益、需要社会广泛知晓的公共政策措施，充分听取公众意见。今年以来，主动通过网站向社会公开</w:t>
      </w:r>
      <w:r>
        <w:rPr>
          <w:rFonts w:hint="eastAsia" w:ascii="仿宋_GB2312" w:hAnsi="仿宋_GB2312" w:eastAsia="仿宋_GB2312" w:cs="仿宋_GB2312"/>
          <w:sz w:val="32"/>
          <w:szCs w:val="32"/>
          <w:shd w:val="clear" w:fill="FFFFFF"/>
          <w:lang w:eastAsia="zh-CN"/>
        </w:rPr>
        <w:t>《关于征求</w:t>
      </w:r>
      <w:r>
        <w:rPr>
          <w:rFonts w:hint="eastAsia" w:ascii="仿宋_GB2312" w:hAnsi="仿宋_GB2312" w:eastAsia="仿宋_GB2312" w:cs="仿宋_GB2312"/>
          <w:sz w:val="32"/>
          <w:szCs w:val="32"/>
          <w:shd w:val="clear" w:fill="FFFFFF"/>
          <w:lang w:val="en-US"/>
        </w:rPr>
        <w:t>&lt;</w:t>
      </w:r>
      <w:r>
        <w:rPr>
          <w:rFonts w:hint="eastAsia" w:ascii="仿宋_GB2312" w:hAnsi="仿宋_GB2312" w:eastAsia="仿宋_GB2312" w:cs="仿宋_GB2312"/>
          <w:sz w:val="32"/>
          <w:szCs w:val="32"/>
          <w:shd w:val="clear" w:fill="FFFFFF"/>
          <w:lang w:eastAsia="zh-CN"/>
        </w:rPr>
        <w:t>关于全市促进商贸消费升级的实施意见（征求意见稿）</w:t>
      </w:r>
      <w:r>
        <w:rPr>
          <w:rFonts w:hint="eastAsia" w:ascii="仿宋_GB2312" w:hAnsi="仿宋_GB2312" w:eastAsia="仿宋_GB2312" w:cs="仿宋_GB2312"/>
          <w:sz w:val="32"/>
          <w:szCs w:val="32"/>
          <w:shd w:val="clear" w:fill="FFFFFF"/>
          <w:lang w:val="en-US"/>
        </w:rPr>
        <w:t>&gt;</w:t>
      </w:r>
      <w:r>
        <w:rPr>
          <w:rFonts w:hint="eastAsia" w:ascii="仿宋_GB2312" w:hAnsi="仿宋_GB2312" w:eastAsia="仿宋_GB2312" w:cs="仿宋_GB2312"/>
          <w:sz w:val="32"/>
          <w:szCs w:val="32"/>
          <w:shd w:val="clear" w:fill="FFFFFF"/>
          <w:lang w:eastAsia="zh-CN"/>
        </w:rPr>
        <w:t>意见建议的函》，</w:t>
      </w:r>
      <w:r>
        <w:rPr>
          <w:rFonts w:hint="eastAsia" w:ascii="仿宋_GB2312" w:hAnsi="仿宋_GB2312" w:eastAsia="仿宋_GB2312" w:cs="仿宋_GB2312"/>
          <w:kern w:val="2"/>
          <w:sz w:val="32"/>
          <w:szCs w:val="32"/>
          <w:shd w:val="clear" w:fill="FFFFFF"/>
          <w:lang w:eastAsia="zh-CN"/>
        </w:rPr>
        <w:t>主动征求利益相关方、群众代表、专家、媒体意见建议，建立健全企业家、商会、行业协会参与涉企政策制定制度。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三是加强政务信息管理。</w:t>
      </w:r>
      <w:r>
        <w:rPr>
          <w:rFonts w:hint="eastAsia" w:ascii="仿宋_GB2312" w:hAnsi="仿宋_GB2312" w:eastAsia="仿宋_GB2312" w:cs="仿宋_GB2312"/>
          <w:kern w:val="2"/>
          <w:sz w:val="32"/>
          <w:szCs w:val="32"/>
          <w:shd w:val="clear" w:fill="FFFFFF"/>
          <w:lang w:eastAsia="zh-CN"/>
        </w:rPr>
        <w:t>按照“放管服”改革要求，依托“互联网</w:t>
      </w:r>
      <w:r>
        <w:rPr>
          <w:rFonts w:hint="eastAsia" w:ascii="仿宋_GB2312" w:hAnsi="仿宋_GB2312" w:eastAsia="仿宋_GB2312" w:cs="仿宋_GB2312"/>
          <w:kern w:val="2"/>
          <w:sz w:val="32"/>
          <w:szCs w:val="32"/>
          <w:shd w:val="clear" w:fill="FFFFFF"/>
          <w:lang w:val="en-US" w:eastAsia="zh-CN"/>
        </w:rPr>
        <w:t>+</w:t>
      </w:r>
      <w:r>
        <w:rPr>
          <w:rFonts w:hint="eastAsia" w:ascii="仿宋_GB2312" w:hAnsi="仿宋_GB2312" w:eastAsia="仿宋_GB2312" w:cs="仿宋_GB2312"/>
          <w:kern w:val="2"/>
          <w:sz w:val="32"/>
          <w:szCs w:val="32"/>
          <w:shd w:val="clear" w:fill="FFFFFF"/>
          <w:lang w:eastAsia="zh-CN"/>
        </w:rPr>
        <w:t>政务服务”平台，规范权力运行全过程信息。系统梳理制发的规范性文件，列明文号、成文日期、发布时间、有效性等信息，提供文本下载功能，提升规范性文件公开质量。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楷体_GB2312" w:hAnsi="楷体_GB2312" w:eastAsia="楷体_GB2312" w:cs="楷体_GB2312"/>
          <w:kern w:val="2"/>
          <w:sz w:val="32"/>
          <w:szCs w:val="32"/>
          <w:shd w:val="clear" w:fill="FFFFFF"/>
          <w:lang w:val="en-US" w:eastAsia="zh-CN"/>
        </w:rPr>
      </w:pPr>
      <w:r>
        <w:rPr>
          <w:rFonts w:hint="eastAsia" w:ascii="楷体_GB2312" w:hAnsi="楷体_GB2312" w:eastAsia="楷体_GB2312" w:cs="楷体_GB2312"/>
          <w:kern w:val="2"/>
          <w:sz w:val="32"/>
          <w:szCs w:val="32"/>
          <w:shd w:val="clear" w:fill="FFFFFF"/>
          <w:lang w:eastAsia="zh-CN"/>
        </w:rPr>
        <w:t>（二）全面落实“六稳”“六保”工作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一是助力做好“六稳”工作。</w:t>
      </w:r>
      <w:r>
        <w:rPr>
          <w:rFonts w:hint="eastAsia" w:ascii="仿宋_GB2312" w:hAnsi="仿宋_GB2312" w:eastAsia="仿宋_GB2312" w:cs="仿宋_GB2312"/>
          <w:kern w:val="2"/>
          <w:sz w:val="32"/>
          <w:szCs w:val="32"/>
          <w:shd w:val="clear" w:fill="FFFFFF"/>
          <w:lang w:eastAsia="zh-CN"/>
        </w:rPr>
        <w:t>通过网站、微信公众号等多渠道公开稳外贸、稳外资工作信息，及时公开稳外贸稳外资政策落实情况，加大稳外资稳外贸政策解读力度。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二是助力落实“六保”任务。</w:t>
      </w:r>
      <w:r>
        <w:rPr>
          <w:rFonts w:hint="eastAsia" w:ascii="仿宋_GB2312" w:hAnsi="仿宋_GB2312" w:eastAsia="仿宋_GB2312" w:cs="仿宋_GB2312"/>
          <w:kern w:val="2"/>
          <w:sz w:val="32"/>
          <w:szCs w:val="32"/>
          <w:shd w:val="clear" w:fill="FFFFFF"/>
          <w:lang w:eastAsia="zh-CN"/>
        </w:rPr>
        <w:t>及时公开商贸流通领域市场保供情况。公布应对疫情阶段性政策，助力商贸流通企业渡过难关。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三是进一步提高政策解读质量效果。</w:t>
      </w:r>
      <w:r>
        <w:rPr>
          <w:rFonts w:hint="eastAsia" w:ascii="仿宋_GB2312" w:hAnsi="仿宋_GB2312" w:eastAsia="仿宋_GB2312" w:cs="仿宋_GB2312"/>
          <w:kern w:val="2"/>
          <w:sz w:val="32"/>
          <w:szCs w:val="32"/>
          <w:shd w:val="clear" w:fill="FFFFFF"/>
          <w:lang w:eastAsia="zh-CN"/>
        </w:rPr>
        <w:t>在制订政策的同时，精心编制解读方案和解读材料，在公开的基础上做好解读。丰富解读方式方法，利用新闻发布会、图表图解等方式，多角度、全方位、有序有效阐释政策。</w:t>
      </w:r>
      <w:r>
        <w:rPr>
          <w:rFonts w:hint="eastAsia" w:ascii="仿宋_GB2312" w:hAnsi="仿宋_GB2312" w:eastAsia="仿宋_GB2312" w:cs="仿宋_GB2312"/>
          <w:kern w:val="2"/>
          <w:sz w:val="32"/>
          <w:szCs w:val="32"/>
          <w:shd w:val="clear" w:fill="FFFFFF"/>
          <w:lang w:val="en-US" w:eastAsia="zh-CN"/>
        </w:rPr>
        <w:t>2020</w:t>
      </w:r>
      <w:r>
        <w:rPr>
          <w:rFonts w:hint="eastAsia" w:ascii="仿宋_GB2312" w:hAnsi="仿宋_GB2312" w:eastAsia="仿宋_GB2312" w:cs="仿宋_GB2312"/>
          <w:kern w:val="2"/>
          <w:sz w:val="32"/>
          <w:szCs w:val="32"/>
          <w:shd w:val="clear" w:fill="FFFFFF"/>
          <w:lang w:eastAsia="zh-CN"/>
        </w:rPr>
        <w:t>年共举行参与新闻发布会</w:t>
      </w:r>
      <w:r>
        <w:rPr>
          <w:rFonts w:hint="eastAsia" w:ascii="仿宋_GB2312" w:hAnsi="仿宋_GB2312" w:eastAsia="仿宋_GB2312" w:cs="仿宋_GB2312"/>
          <w:kern w:val="2"/>
          <w:sz w:val="32"/>
          <w:szCs w:val="32"/>
          <w:shd w:val="clear" w:fill="FFFFFF"/>
          <w:lang w:val="en-US" w:eastAsia="zh-CN"/>
        </w:rPr>
        <w:t>4</w:t>
      </w:r>
      <w:r>
        <w:rPr>
          <w:rFonts w:hint="eastAsia" w:ascii="仿宋_GB2312" w:hAnsi="仿宋_GB2312" w:eastAsia="仿宋_GB2312" w:cs="仿宋_GB2312"/>
          <w:kern w:val="2"/>
          <w:sz w:val="32"/>
          <w:szCs w:val="32"/>
          <w:shd w:val="clear" w:fill="FFFFFF"/>
          <w:lang w:eastAsia="zh-CN"/>
        </w:rPr>
        <w:t>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楷体_GB2312" w:hAnsi="楷体_GB2312" w:eastAsia="楷体_GB2312" w:cs="楷体_GB2312"/>
          <w:kern w:val="2"/>
          <w:sz w:val="32"/>
          <w:szCs w:val="32"/>
          <w:shd w:val="clear" w:fill="FFFFFF"/>
          <w:lang w:val="en-US" w:eastAsia="zh-CN"/>
        </w:rPr>
      </w:pPr>
      <w:r>
        <w:rPr>
          <w:rFonts w:hint="eastAsia" w:ascii="楷体_GB2312" w:hAnsi="楷体_GB2312" w:eastAsia="楷体_GB2312" w:cs="楷体_GB2312"/>
          <w:kern w:val="2"/>
          <w:sz w:val="32"/>
          <w:szCs w:val="32"/>
          <w:shd w:val="clear" w:fill="FFFFFF"/>
          <w:lang w:eastAsia="zh-CN"/>
        </w:rPr>
        <w:t>（三）全面聚焦重点领域信息公开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rPr>
      </w:pPr>
      <w:r>
        <w:rPr>
          <w:rFonts w:hint="eastAsia" w:ascii="仿宋_GB2312" w:hAnsi="仿宋_GB2312" w:eastAsia="仿宋_GB2312" w:cs="仿宋_GB2312"/>
          <w:b/>
          <w:bCs/>
          <w:kern w:val="2"/>
          <w:sz w:val="32"/>
          <w:szCs w:val="32"/>
          <w:shd w:val="clear" w:fill="FFFFFF"/>
          <w:lang w:eastAsia="zh-CN"/>
        </w:rPr>
        <w:t>一是着力行政执法信息公示。</w:t>
      </w:r>
      <w:r>
        <w:rPr>
          <w:rFonts w:hint="eastAsia" w:ascii="仿宋_GB2312" w:hAnsi="仿宋_GB2312" w:eastAsia="仿宋_GB2312" w:cs="仿宋_GB2312"/>
          <w:kern w:val="2"/>
          <w:sz w:val="32"/>
          <w:szCs w:val="32"/>
          <w:shd w:val="clear" w:fill="FFFFFF"/>
          <w:lang w:eastAsia="zh-CN"/>
        </w:rPr>
        <w:t>重点对行政执法的基本信息、职责权限、执法流程、裁量基准、执法结果、监督和救济途径等内容进行公开公示，保障社会公众就商贸领域行政执法信息知晓。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二是着力“六稳六保”信息公开。</w:t>
      </w:r>
      <w:r>
        <w:rPr>
          <w:rFonts w:hint="eastAsia" w:ascii="仿宋_GB2312" w:hAnsi="仿宋_GB2312" w:eastAsia="仿宋_GB2312" w:cs="仿宋_GB2312"/>
          <w:kern w:val="2"/>
          <w:sz w:val="32"/>
          <w:szCs w:val="32"/>
          <w:shd w:val="clear" w:fill="FFFFFF"/>
          <w:lang w:eastAsia="zh-CN"/>
        </w:rPr>
        <w:t>重点对商务部门的稳外资稳外贸和做好市场保供等职能，对相关政策和出台的文件进行解读，同时对上级部署执行落实情况进行公开。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楷体_GB2312" w:hAnsi="楷体_GB2312" w:eastAsia="楷体_GB2312" w:cs="楷体_GB2312"/>
          <w:kern w:val="2"/>
          <w:sz w:val="32"/>
          <w:szCs w:val="32"/>
          <w:shd w:val="clear" w:fill="FFFFFF"/>
          <w:lang w:val="en-US" w:eastAsia="zh-CN"/>
        </w:rPr>
      </w:pPr>
      <w:r>
        <w:rPr>
          <w:rFonts w:hint="eastAsia" w:ascii="楷体_GB2312" w:hAnsi="楷体_GB2312" w:eastAsia="楷体_GB2312" w:cs="楷体_GB2312"/>
          <w:kern w:val="2"/>
          <w:sz w:val="32"/>
          <w:szCs w:val="32"/>
          <w:shd w:val="clear" w:fill="FFFFFF"/>
          <w:lang w:eastAsia="zh-CN"/>
        </w:rPr>
        <w:t>（四）全面强化工作保障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一是加强组织领导，建立健全责任体系。</w:t>
      </w:r>
      <w:r>
        <w:rPr>
          <w:rFonts w:hint="eastAsia" w:ascii="仿宋_GB2312" w:hAnsi="仿宋_GB2312" w:eastAsia="仿宋_GB2312" w:cs="仿宋_GB2312"/>
          <w:kern w:val="2"/>
          <w:sz w:val="32"/>
          <w:szCs w:val="32"/>
          <w:shd w:val="clear" w:fill="FFFFFF"/>
          <w:lang w:eastAsia="zh-CN"/>
        </w:rPr>
        <w:t>及时召开局全体干部会议学习上级政策文件，谋深谋细谋实政务公开工作。局领导出席新闻发布会，带头解读商务相关政策。加强行业指导，开展政务公开工作业务培训，形成了协调配合、密切联动的良好局面。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kern w:val="2"/>
          <w:sz w:val="32"/>
          <w:szCs w:val="32"/>
          <w:shd w:val="clear" w:fill="FFFFFF"/>
          <w:lang w:eastAsia="zh-CN"/>
        </w:rPr>
        <w:t>二是加强制度建设，积极查漏补缺。</w:t>
      </w:r>
      <w:r>
        <w:rPr>
          <w:rFonts w:hint="eastAsia" w:ascii="仿宋_GB2312" w:hAnsi="仿宋_GB2312" w:eastAsia="仿宋_GB2312" w:cs="仿宋_GB2312"/>
          <w:kern w:val="2"/>
          <w:sz w:val="32"/>
          <w:szCs w:val="32"/>
          <w:shd w:val="clear" w:fill="FFFFFF"/>
          <w:lang w:eastAsia="zh-CN"/>
        </w:rPr>
        <w:t>对省市政务公开办出台的政策性文件，逐个研究，提出贯彻落实意见，制定了《市商务局</w:t>
      </w:r>
      <w:r>
        <w:rPr>
          <w:rFonts w:hint="eastAsia" w:ascii="仿宋_GB2312" w:hAnsi="仿宋_GB2312" w:eastAsia="仿宋_GB2312" w:cs="仿宋_GB2312"/>
          <w:kern w:val="2"/>
          <w:sz w:val="32"/>
          <w:szCs w:val="32"/>
          <w:shd w:val="clear" w:fill="FFFFFF"/>
          <w:lang w:val="en-US" w:eastAsia="zh-CN"/>
        </w:rPr>
        <w:t>2020</w:t>
      </w:r>
      <w:r>
        <w:rPr>
          <w:rFonts w:hint="eastAsia" w:ascii="仿宋_GB2312" w:hAnsi="仿宋_GB2312" w:eastAsia="仿宋_GB2312" w:cs="仿宋_GB2312"/>
          <w:kern w:val="2"/>
          <w:sz w:val="32"/>
          <w:szCs w:val="32"/>
          <w:shd w:val="clear" w:fill="FFFFFF"/>
          <w:lang w:eastAsia="zh-CN"/>
        </w:rPr>
        <w:t>年政务公开重点工作任务分工的通知》细化任务问题，明确责任部门，形成整改长效机制，确保整改落到实处。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645"/>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kern w:val="2"/>
          <w:sz w:val="32"/>
          <w:szCs w:val="32"/>
          <w:shd w:val="clear" w:fill="FFFFFF"/>
          <w:lang w:eastAsia="zh-CN"/>
        </w:rPr>
        <w:t>三是加强督察考核，确保落实到位。</w:t>
      </w:r>
      <w:r>
        <w:rPr>
          <w:rFonts w:hint="eastAsia" w:ascii="仿宋_GB2312" w:hAnsi="仿宋_GB2312" w:eastAsia="仿宋_GB2312" w:cs="仿宋_GB2312"/>
          <w:kern w:val="2"/>
          <w:sz w:val="32"/>
          <w:szCs w:val="32"/>
          <w:shd w:val="clear" w:fill="FFFFFF"/>
          <w:lang w:eastAsia="zh-CN"/>
        </w:rPr>
        <w:t>进一步建立健全督查工作机制，定期督查政府信息发布情况，督促各责任主体做好政务公开工作。对出台的重要文件、年度工作要点，逐项明确牵头责任主体、时间节点和相关措施，确保每项任务有人抓、能落实。强化问题整改，针对市政府办反馈的问题清单，严格制定问题清单、责任清单和整改清单，落实责任部门和整改时限，加大督促检查，跟踪问效，确保所有问题按时按质整改到位 </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46" w:beforeAutospacing="0" w:after="0" w:afterAutospacing="0" w:line="52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46" w:beforeAutospacing="0" w:after="0" w:afterAutospacing="0" w:line="520" w:lineRule="exact"/>
        <w:ind w:right="0" w:rightChars="0"/>
        <w:jc w:val="both"/>
        <w:textAlignment w:val="auto"/>
        <w:rPr>
          <w:rFonts w:hint="eastAsia" w:ascii="黑体" w:hAnsi="黑体" w:eastAsia="黑体" w:cs="黑体"/>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46" w:beforeAutospacing="0" w:after="0" w:afterAutospacing="0" w:line="520" w:lineRule="exact"/>
        <w:ind w:right="0" w:rightChars="0"/>
        <w:jc w:val="both"/>
        <w:textAlignment w:val="auto"/>
        <w:rPr>
          <w:rFonts w:hint="eastAsia" w:ascii="黑体" w:hAnsi="黑体" w:eastAsia="黑体" w:cs="黑体"/>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46" w:beforeAutospacing="0" w:after="0" w:afterAutospacing="0" w:line="520" w:lineRule="exact"/>
        <w:ind w:right="0" w:rightChars="0"/>
        <w:jc w:val="both"/>
        <w:textAlignment w:val="auto"/>
        <w:rPr>
          <w:rFonts w:hint="eastAsia" w:ascii="黑体" w:hAnsi="黑体" w:eastAsia="黑体" w:cs="黑体"/>
          <w:sz w:val="32"/>
          <w:szCs w:val="32"/>
        </w:rPr>
      </w:pPr>
    </w:p>
    <w:tbl>
      <w:tblPr>
        <w:tblStyle w:val="3"/>
        <w:tblW w:w="84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10"/>
        <w:gridCol w:w="2460"/>
        <w:gridCol w:w="2025"/>
        <w:gridCol w:w="2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490" w:type="dxa"/>
            <w:gridSpan w:val="4"/>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信息内容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本年新制作数量</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本年新公开数量</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规    章</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规范性文件</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信息内容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上一年项目数量</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本年增/减</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行政许可</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其他对外管理服务事项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信息内容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上一年项目数量</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本年增/减</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行政处罚</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行政强制</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02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229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信息内容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上一年项目数量</w:t>
            </w:r>
          </w:p>
        </w:tc>
        <w:tc>
          <w:tcPr>
            <w:tcW w:w="432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行政事业性收费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432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信息内容</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采购项目数量</w:t>
            </w:r>
          </w:p>
        </w:tc>
        <w:tc>
          <w:tcPr>
            <w:tcW w:w="432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政府集中采购</w:t>
            </w:r>
          </w:p>
        </w:tc>
        <w:tc>
          <w:tcPr>
            <w:tcW w:w="246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tc>
        <w:tc>
          <w:tcPr>
            <w:tcW w:w="4320" w:type="dxa"/>
            <w:gridSpan w:val="2"/>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leftChars="0" w:right="0" w:righ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937412.00</w:t>
            </w:r>
          </w:p>
        </w:tc>
      </w:tr>
    </w:tbl>
    <w:p>
      <w:pPr>
        <w:pStyle w:val="2"/>
        <w:keepNext w:val="0"/>
        <w:keepLines w:val="0"/>
        <w:pageBreakBefore w:val="0"/>
        <w:widowControl/>
        <w:suppressLineNumbers w:val="0"/>
        <w:kinsoku/>
        <w:wordWrap/>
        <w:overflowPunct/>
        <w:topLinePunct w:val="0"/>
        <w:autoSpaceDE/>
        <w:autoSpaceDN/>
        <w:bidi w:val="0"/>
        <w:adjustRightInd/>
        <w:snapToGrid/>
        <w:spacing w:before="46"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46" w:beforeAutospacing="0" w:after="0" w:afterAutospacing="0" w:line="520" w:lineRule="exact"/>
        <w:ind w:left="0" w:right="0" w:firstLine="960" w:firstLineChars="300"/>
        <w:jc w:val="both"/>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0" w:type="auto"/>
        <w:tblInd w:w="0" w:type="dxa"/>
        <w:shd w:val="clear" w:color="auto" w:fill="auto"/>
        <w:tblLayout w:type="autofit"/>
        <w:tblCellMar>
          <w:top w:w="0" w:type="dxa"/>
          <w:left w:w="0" w:type="dxa"/>
          <w:bottom w:w="0" w:type="dxa"/>
          <w:right w:w="0" w:type="dxa"/>
        </w:tblCellMar>
      </w:tblPr>
      <w:tblGrid>
        <w:gridCol w:w="1063"/>
        <w:gridCol w:w="1170"/>
        <w:gridCol w:w="1671"/>
        <w:gridCol w:w="571"/>
        <w:gridCol w:w="690"/>
        <w:gridCol w:w="615"/>
        <w:gridCol w:w="814"/>
        <w:gridCol w:w="812"/>
        <w:gridCol w:w="530"/>
        <w:gridCol w:w="580"/>
      </w:tblGrid>
      <w:tr>
        <w:tblPrEx>
          <w:shd w:val="clear" w:color="auto" w:fill="auto"/>
          <w:tblCellMar>
            <w:top w:w="0" w:type="dxa"/>
            <w:left w:w="0" w:type="dxa"/>
            <w:bottom w:w="0" w:type="dxa"/>
            <w:right w:w="0" w:type="dxa"/>
          </w:tblCellMar>
        </w:tblPrEx>
        <w:tc>
          <w:tcPr>
            <w:tcW w:w="4245"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（本列数据的勾稽关系为：第一项加第二项之和，等于第三项加第四项之和）</w:t>
            </w:r>
          </w:p>
        </w:tc>
        <w:tc>
          <w:tcPr>
            <w:tcW w:w="4695" w:type="dxa"/>
            <w:gridSpan w:val="7"/>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申请人情况</w:t>
            </w:r>
          </w:p>
        </w:tc>
      </w:tr>
      <w:tr>
        <w:tblPrEx>
          <w:tblCellMar>
            <w:top w:w="0" w:type="dxa"/>
            <w:left w:w="0" w:type="dxa"/>
            <w:bottom w:w="0" w:type="dxa"/>
            <w:right w:w="0" w:type="dxa"/>
          </w:tblCellMar>
        </w:tblPrEx>
        <w:tc>
          <w:tcPr>
            <w:tcW w:w="424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8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然人</w:t>
            </w:r>
          </w:p>
        </w:tc>
        <w:tc>
          <w:tcPr>
            <w:tcW w:w="352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法人或其他组织</w:t>
            </w:r>
          </w:p>
        </w:tc>
        <w:tc>
          <w:tcPr>
            <w:tcW w:w="58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r>
      <w:tr>
        <w:tblPrEx>
          <w:tblCellMar>
            <w:top w:w="0" w:type="dxa"/>
            <w:left w:w="0" w:type="dxa"/>
            <w:bottom w:w="0" w:type="dxa"/>
            <w:right w:w="0" w:type="dxa"/>
          </w:tblCellMar>
        </w:tblPrEx>
        <w:tc>
          <w:tcPr>
            <w:tcW w:w="424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8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商业企业</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科研机构</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社会公益组织</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法律服务机构</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w:t>
            </w:r>
          </w:p>
        </w:tc>
        <w:tc>
          <w:tcPr>
            <w:tcW w:w="58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c>
          <w:tcPr>
            <w:tcW w:w="424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一、本年新收政府信息公开申请数量</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424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二、上年结转政府信息公开申请数量</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三、本年度办理结果</w:t>
            </w:r>
          </w:p>
        </w:tc>
        <w:tc>
          <w:tcPr>
            <w:tcW w:w="310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（一）予以公开</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310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（二）部分公开（区分处理的，只计这一情形，不计其他情形）</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rPr>
          <w:trHeight w:val="525" w:hRule="atLeast"/>
        </w:trPr>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（三）不予公开</w:t>
            </w: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1.属于国家秘密</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2.其他法律行政法规禁止公开</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firstLine="19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3.危及“三安全一稳定”</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4.保护第三方合法权益</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5.属于三类内部事务信息</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6.属于四类过程性信息</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firstLine="19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rPr>
          <w:trHeight w:val="480" w:hRule="atLeast"/>
        </w:trPr>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7.属于行政执法案卷</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8.属于行政查询事项</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（四）无法提供</w:t>
            </w: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1.本机关不掌握相关政府信息</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2.没有现成信息需要另行制作</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3.补正后申请内容仍不明确</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（五）不予处理</w:t>
            </w: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1.信访举报投诉类申请</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2.重复申请</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3.要求提供公开出版物</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4.无正当理由大量反复申请</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14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1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5.要求行政机关确认或重新出具已获取信息</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310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（六）其他处理</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11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3105"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（七）总计</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r>
        <w:tblPrEx>
          <w:tblCellMar>
            <w:top w:w="0" w:type="dxa"/>
            <w:left w:w="0" w:type="dxa"/>
            <w:bottom w:w="0" w:type="dxa"/>
            <w:right w:w="0" w:type="dxa"/>
          </w:tblCellMar>
        </w:tblPrEx>
        <w:tc>
          <w:tcPr>
            <w:tcW w:w="424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四、结转下年度继续办理</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1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3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20" w:lineRule="exact"/>
              <w:ind w:left="0" w:firstLine="19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46"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行政复议</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（因政府信息公开被行政复议）</w:t>
            </w:r>
          </w:p>
        </w:tc>
        <w:tc>
          <w:tcPr>
            <w:tcW w:w="5685"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行政诉讼</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（因政府信息公开被行政诉讼）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7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结果维护</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结果纠正</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其他结果</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尚未审结</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c>
          <w:tcPr>
            <w:tcW w:w="283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未经复议直接起诉</w:t>
            </w:r>
          </w:p>
        </w:tc>
        <w:tc>
          <w:tcPr>
            <w:tcW w:w="283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7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结果维护</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结果纠正</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其他结果</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尚未审结</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结果维护</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结果纠正</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其他结果</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尚未审结</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7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color w:val="000000"/>
          <w:sz w:val="32"/>
          <w:szCs w:val="32"/>
          <w:shd w:val="clear" w:fill="FFFFFF"/>
        </w:rPr>
        <w:t>五、存在的主要问题及改进情况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主要问题：一是对新修订的《条例》的学习宣传、贯彻落实需要进一步加强；二是</w:t>
      </w:r>
      <w:r>
        <w:rPr>
          <w:rFonts w:hint="eastAsia" w:ascii="仿宋_GB2312" w:hAnsi="仿宋_GB2312" w:eastAsia="仿宋_GB2312" w:cs="仿宋_GB2312"/>
          <w:color w:val="000000"/>
          <w:sz w:val="32"/>
          <w:szCs w:val="32"/>
          <w:shd w:val="clear" w:fill="FFFFFF"/>
          <w:lang w:eastAsia="zh-CN"/>
        </w:rPr>
        <w:t>重点</w:t>
      </w:r>
      <w:r>
        <w:rPr>
          <w:rFonts w:hint="eastAsia" w:ascii="仿宋_GB2312" w:hAnsi="仿宋_GB2312" w:eastAsia="仿宋_GB2312" w:cs="仿宋_GB2312"/>
          <w:color w:val="000000"/>
          <w:sz w:val="32"/>
          <w:szCs w:val="32"/>
          <w:shd w:val="clear" w:fill="FFFFFF"/>
        </w:rPr>
        <w:t>领域信息公开需加大推进力度；三是回应解读力度需加强。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改进措施：一是继续加强宣传培训学习；强化培养政务公开队伍，加强政策理论学习、研究，深入贯彻公开理念，确保政府信息公开工作落到实处。二是加大</w:t>
      </w:r>
      <w:r>
        <w:rPr>
          <w:rFonts w:hint="eastAsia" w:ascii="仿宋_GB2312" w:hAnsi="仿宋_GB2312" w:eastAsia="仿宋_GB2312" w:cs="仿宋_GB2312"/>
          <w:color w:val="000000"/>
          <w:sz w:val="32"/>
          <w:szCs w:val="32"/>
          <w:shd w:val="clear" w:fill="FFFFFF"/>
          <w:lang w:eastAsia="zh-CN"/>
        </w:rPr>
        <w:t>重点</w:t>
      </w:r>
      <w:r>
        <w:rPr>
          <w:rFonts w:hint="eastAsia" w:ascii="仿宋_GB2312" w:hAnsi="仿宋_GB2312" w:eastAsia="仿宋_GB2312" w:cs="仿宋_GB2312"/>
          <w:color w:val="000000"/>
          <w:sz w:val="32"/>
          <w:szCs w:val="32"/>
          <w:shd w:val="clear" w:fill="FFFFFF"/>
        </w:rPr>
        <w:t>领域信息公开力度</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三是加大回应解读力度，丰富信息公开的内容和形式，定期回应公众关注的热点或重大舆情。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z w:val="32"/>
          <w:szCs w:val="32"/>
          <w:shd w:val="clear" w:fill="FFFFFF"/>
        </w:rPr>
        <w:t>六、其他需要报告的事项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无</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BFA12"/>
    <w:multiLevelType w:val="singleLevel"/>
    <w:tmpl w:val="513BFA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494C"/>
    <w:rsid w:val="20C07EC1"/>
    <w:rsid w:val="3C494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2021-03-24T07:26:00Z</dcterms:created>
  <dc:creator>晓</dc:creator>
  <cp:lastModifiedBy>晓</cp:lastModifiedBy>
  <dcterms:modified xsi:type="dcterms:W3CDTF">2021-05-11T08:20:46Z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0CDD964F4AC0413C9B9E61308AE341E7</vt:lpwstr>
  </property>
</Properties>
</file>